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322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27"/>
      </w:tblGrid>
      <w:tr w:rsidR="00603B7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3B79" w:rsidRDefault="00754A11">
            <w:pPr>
              <w:spacing w:before="25"/>
              <w:jc w:val="center"/>
            </w:pPr>
            <w:bookmarkStart w:id="0" w:name="_GoBack"/>
            <w:bookmarkEnd w:id="0"/>
            <w:r>
              <w:t xml:space="preserve">  </w:t>
            </w:r>
            <w:r w:rsidR="00C76882">
              <w:rPr>
                <w:noProof/>
              </w:rPr>
              <w:drawing>
                <wp:inline distT="0" distB="0" distL="0" distR="0">
                  <wp:extent cx="48133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3B79" w:rsidRDefault="00C76882">
            <w:pPr>
              <w:spacing w:before="25"/>
              <w:jc w:val="center"/>
            </w:pPr>
            <w:r>
              <w:t>Republika Hrvatska</w:t>
            </w:r>
          </w:p>
          <w:p w:rsidR="00603B79" w:rsidRDefault="00C76882">
            <w:pPr>
              <w:spacing w:before="25"/>
              <w:jc w:val="center"/>
            </w:pPr>
            <w:r>
              <w:t>Županijski sud u Varaždinu</w:t>
            </w:r>
          </w:p>
          <w:p w:rsidR="00603B79" w:rsidRDefault="00C76882">
            <w:pPr>
              <w:jc w:val="center"/>
              <w:rPr>
                <w:szCs w:val="24"/>
              </w:rPr>
            </w:pPr>
            <w:r>
              <w:t>Varaždin, Braće Radić 2</w:t>
            </w:r>
          </w:p>
        </w:tc>
      </w:tr>
    </w:tbl>
    <w:p w:rsidR="00603B79" w:rsidRDefault="00C76882">
      <w:pPr>
        <w:pStyle w:val="Zaglavlje"/>
        <w:jc w:val="right"/>
        <w:rPr>
          <w:szCs w:val="24"/>
        </w:rPr>
      </w:pPr>
      <w:r>
        <w:rPr>
          <w:szCs w:val="24"/>
        </w:rPr>
        <w:t>Poslovni broj: 22 Kv II-301/2019-3</w:t>
      </w:r>
    </w:p>
    <w:p w:rsidR="00603B79" w:rsidRDefault="005D6944">
      <w:pPr>
        <w:spacing w:before="25"/>
        <w:jc w:val="right"/>
        <w:rPr>
          <w:szCs w:val="24"/>
        </w:rPr>
      </w:pPr>
      <w:r>
        <w:rPr>
          <w:szCs w:val="24"/>
        </w:rPr>
        <w:t>3 Kir-749/2019</w:t>
      </w:r>
      <w:r w:rsidR="00B141D2">
        <w:rPr>
          <w:szCs w:val="24"/>
        </w:rPr>
        <w:t>-7</w:t>
      </w:r>
    </w:p>
    <w:p w:rsidR="00603B79" w:rsidRDefault="00603B79">
      <w:pPr>
        <w:pStyle w:val="Zaglavlje"/>
        <w:rPr>
          <w:szCs w:val="24"/>
        </w:rPr>
      </w:pPr>
    </w:p>
    <w:p w:rsidR="00603B79" w:rsidRDefault="00603B79">
      <w:pPr>
        <w:rPr>
          <w:szCs w:val="24"/>
        </w:rPr>
      </w:pPr>
    </w:p>
    <w:p w:rsidR="00603B79" w:rsidRDefault="00C76882">
      <w:pPr>
        <w:jc w:val="center"/>
        <w:rPr>
          <w:szCs w:val="24"/>
        </w:rPr>
      </w:pPr>
      <w:r>
        <w:rPr>
          <w:szCs w:val="24"/>
        </w:rPr>
        <w:t>R E P U B L I K A   H R V A T S K A</w:t>
      </w:r>
    </w:p>
    <w:p w:rsidR="00603B79" w:rsidRDefault="00603B79">
      <w:pPr>
        <w:rPr>
          <w:szCs w:val="24"/>
        </w:rPr>
      </w:pPr>
    </w:p>
    <w:p w:rsidR="00603B79" w:rsidRDefault="00C76882">
      <w:pPr>
        <w:jc w:val="center"/>
        <w:rPr>
          <w:szCs w:val="24"/>
        </w:rPr>
      </w:pPr>
      <w:r>
        <w:rPr>
          <w:szCs w:val="24"/>
        </w:rPr>
        <w:t>R J E Š E N J E</w:t>
      </w:r>
    </w:p>
    <w:p w:rsidR="00603B79" w:rsidRDefault="00603B79">
      <w:pPr>
        <w:rPr>
          <w:bCs/>
          <w:szCs w:val="24"/>
        </w:rPr>
      </w:pPr>
    </w:p>
    <w:p w:rsidR="00603B79" w:rsidRDefault="00C76882">
      <w:pPr>
        <w:ind w:firstLine="720"/>
        <w:jc w:val="both"/>
      </w:pPr>
      <w:r>
        <w:rPr>
          <w:szCs w:val="24"/>
        </w:rPr>
        <w:t xml:space="preserve">Županijski sud u Varaždinu, u vijeću sastavljenom od sudaca toga suda </w:t>
      </w:r>
      <w:r w:rsidR="00B141D2">
        <w:rPr>
          <w:szCs w:val="24"/>
        </w:rPr>
        <w:t>Nade Marincil</w:t>
      </w:r>
      <w:r>
        <w:rPr>
          <w:szCs w:val="24"/>
        </w:rPr>
        <w:t xml:space="preserve">, kao predsjednika vijeća, te </w:t>
      </w:r>
      <w:r w:rsidR="00B141D2">
        <w:rPr>
          <w:szCs w:val="24"/>
        </w:rPr>
        <w:t>Rajka Kipkea</w:t>
      </w:r>
      <w:r>
        <w:rPr>
          <w:szCs w:val="24"/>
        </w:rPr>
        <w:t xml:space="preserve"> i Igora Pavlica, kao članova vijeća, uz sudjelovanje zapisničarke </w:t>
      </w:r>
      <w:r w:rsidR="00B141D2">
        <w:rPr>
          <w:szCs w:val="24"/>
        </w:rPr>
        <w:t>Jasmine Šagi</w:t>
      </w:r>
      <w:r>
        <w:rPr>
          <w:szCs w:val="24"/>
        </w:rPr>
        <w:t xml:space="preserve">, povodom prijedloga oštećenika kao tužitelja </w:t>
      </w:r>
      <w:r w:rsidR="00C94126">
        <w:rPr>
          <w:szCs w:val="24"/>
        </w:rPr>
        <w:t xml:space="preserve">A. K. </w:t>
      </w:r>
      <w:r>
        <w:rPr>
          <w:szCs w:val="24"/>
        </w:rPr>
        <w:t xml:space="preserve">i </w:t>
      </w:r>
      <w:r w:rsidR="00C94126">
        <w:rPr>
          <w:szCs w:val="24"/>
        </w:rPr>
        <w:t xml:space="preserve">M. B. </w:t>
      </w:r>
      <w:r>
        <w:rPr>
          <w:szCs w:val="24"/>
        </w:rPr>
        <w:t xml:space="preserve">za provođenje dokaznih radnji protiv osumnjičene </w:t>
      </w:r>
      <w:r w:rsidR="00C94126">
        <w:rPr>
          <w:szCs w:val="24"/>
        </w:rPr>
        <w:t>K. J. T.</w:t>
      </w:r>
      <w:r w:rsidR="00B141D2">
        <w:rPr>
          <w:szCs w:val="24"/>
        </w:rPr>
        <w:t>,</w:t>
      </w:r>
      <w:r>
        <w:rPr>
          <w:szCs w:val="24"/>
        </w:rPr>
        <w:t xml:space="preserve"> zbog kaznenog djela iz čl. 146. st. 4. u vezi st. 1. Kaznenog zakona („Narodne novine“ br. 125/11</w:t>
      </w:r>
      <w:r w:rsidR="00B141D2">
        <w:rPr>
          <w:szCs w:val="24"/>
        </w:rPr>
        <w:t>.</w:t>
      </w:r>
      <w:r>
        <w:rPr>
          <w:szCs w:val="24"/>
        </w:rPr>
        <w:t>, 144/12</w:t>
      </w:r>
      <w:r w:rsidR="00B141D2">
        <w:rPr>
          <w:szCs w:val="24"/>
        </w:rPr>
        <w:t>.</w:t>
      </w:r>
      <w:r>
        <w:rPr>
          <w:szCs w:val="24"/>
        </w:rPr>
        <w:t>, 56/15</w:t>
      </w:r>
      <w:r w:rsidR="00B141D2">
        <w:rPr>
          <w:szCs w:val="24"/>
        </w:rPr>
        <w:t>.</w:t>
      </w:r>
      <w:r>
        <w:rPr>
          <w:szCs w:val="24"/>
        </w:rPr>
        <w:t>, 61/15</w:t>
      </w:r>
      <w:r w:rsidR="00B141D2">
        <w:rPr>
          <w:szCs w:val="24"/>
        </w:rPr>
        <w:t>.</w:t>
      </w:r>
      <w:r>
        <w:rPr>
          <w:szCs w:val="24"/>
        </w:rPr>
        <w:t xml:space="preserve"> i 101/17</w:t>
      </w:r>
      <w:r w:rsidR="00B141D2">
        <w:rPr>
          <w:szCs w:val="24"/>
        </w:rPr>
        <w:t>.</w:t>
      </w:r>
      <w:r>
        <w:rPr>
          <w:szCs w:val="24"/>
        </w:rPr>
        <w:t xml:space="preserve"> – dalje: KZ/11), odlučujući o žalbi oštećenika kao tužitelja podnesenoj protiv rješenja sutkinje istrage Županijskog suda u Varaždinu broj 3 Kir-749/2019-4 od 12. prosinca 2019., u sjednici održanoj 5.</w:t>
      </w:r>
      <w:r w:rsidR="00B141D2">
        <w:rPr>
          <w:szCs w:val="24"/>
        </w:rPr>
        <w:t xml:space="preserve"> </w:t>
      </w:r>
      <w:r>
        <w:rPr>
          <w:szCs w:val="24"/>
        </w:rPr>
        <w:t>veljače 2020.</w:t>
      </w:r>
    </w:p>
    <w:p w:rsidR="00603B79" w:rsidRDefault="00603B79">
      <w:pPr>
        <w:rPr>
          <w:szCs w:val="24"/>
        </w:rPr>
      </w:pPr>
    </w:p>
    <w:p w:rsidR="00603B79" w:rsidRDefault="00603B79">
      <w:pPr>
        <w:rPr>
          <w:szCs w:val="24"/>
        </w:rPr>
      </w:pPr>
    </w:p>
    <w:p w:rsidR="00603B79" w:rsidRDefault="00C76882">
      <w:pPr>
        <w:jc w:val="center"/>
        <w:rPr>
          <w:bCs/>
          <w:szCs w:val="24"/>
        </w:rPr>
      </w:pPr>
      <w:r>
        <w:rPr>
          <w:bCs/>
          <w:szCs w:val="24"/>
        </w:rPr>
        <w:t>r i j e š i o   j e</w:t>
      </w:r>
    </w:p>
    <w:p w:rsidR="00603B79" w:rsidRDefault="00603B79">
      <w:pPr>
        <w:rPr>
          <w:bCs/>
          <w:szCs w:val="24"/>
        </w:rPr>
      </w:pPr>
    </w:p>
    <w:p w:rsidR="00603B79" w:rsidRDefault="00C76882">
      <w:pPr>
        <w:ind w:firstLine="720"/>
        <w:jc w:val="both"/>
      </w:pPr>
      <w:r>
        <w:rPr>
          <w:szCs w:val="24"/>
        </w:rPr>
        <w:t xml:space="preserve">Žalba oštećenika kao tužitelja </w:t>
      </w:r>
      <w:r w:rsidR="00C94126">
        <w:rPr>
          <w:szCs w:val="24"/>
        </w:rPr>
        <w:t xml:space="preserve">A. K. </w:t>
      </w:r>
      <w:r>
        <w:rPr>
          <w:szCs w:val="24"/>
        </w:rPr>
        <w:t xml:space="preserve">i </w:t>
      </w:r>
      <w:r w:rsidR="00C94126">
        <w:rPr>
          <w:szCs w:val="24"/>
        </w:rPr>
        <w:t xml:space="preserve">M. B. </w:t>
      </w:r>
      <w:r>
        <w:rPr>
          <w:szCs w:val="24"/>
        </w:rPr>
        <w:t>odbija se kao neosnovana.</w:t>
      </w:r>
    </w:p>
    <w:p w:rsidR="00603B79" w:rsidRDefault="00603B79">
      <w:pPr>
        <w:rPr>
          <w:szCs w:val="24"/>
        </w:rPr>
      </w:pPr>
    </w:p>
    <w:p w:rsidR="00603B79" w:rsidRDefault="00C76882">
      <w:pPr>
        <w:jc w:val="center"/>
        <w:rPr>
          <w:bCs/>
          <w:szCs w:val="24"/>
        </w:rPr>
      </w:pPr>
      <w:r>
        <w:rPr>
          <w:bCs/>
          <w:szCs w:val="24"/>
        </w:rPr>
        <w:t>Obrazloženje</w:t>
      </w:r>
    </w:p>
    <w:p w:rsidR="00603B79" w:rsidRDefault="00603B79">
      <w:pPr>
        <w:jc w:val="both"/>
        <w:rPr>
          <w:szCs w:val="24"/>
        </w:rPr>
      </w:pPr>
    </w:p>
    <w:p w:rsidR="00603B79" w:rsidRDefault="00C76882">
      <w:pPr>
        <w:ind w:firstLine="720"/>
        <w:jc w:val="both"/>
        <w:rPr>
          <w:szCs w:val="24"/>
        </w:rPr>
      </w:pPr>
      <w:r>
        <w:rPr>
          <w:szCs w:val="24"/>
        </w:rPr>
        <w:t xml:space="preserve">Pobijanim rješenjem sutkinje istrage odbijen je prijedlog oštećenika kao tužitelja </w:t>
      </w:r>
      <w:r w:rsidR="00C94126">
        <w:rPr>
          <w:szCs w:val="24"/>
        </w:rPr>
        <w:t xml:space="preserve">A. K. </w:t>
      </w:r>
      <w:r>
        <w:rPr>
          <w:szCs w:val="24"/>
        </w:rPr>
        <w:t xml:space="preserve">i </w:t>
      </w:r>
      <w:r w:rsidR="00C94126">
        <w:rPr>
          <w:szCs w:val="24"/>
        </w:rPr>
        <w:t xml:space="preserve">M. B. </w:t>
      </w:r>
      <w:r>
        <w:rPr>
          <w:szCs w:val="24"/>
        </w:rPr>
        <w:t xml:space="preserve">za provođenjem istrage protiv osumnjičene </w:t>
      </w:r>
      <w:r w:rsidR="00C94126">
        <w:rPr>
          <w:szCs w:val="24"/>
        </w:rPr>
        <w:t>K. J. T.</w:t>
      </w:r>
      <w:r w:rsidR="00B141D2">
        <w:rPr>
          <w:szCs w:val="24"/>
        </w:rPr>
        <w:t>,</w:t>
      </w:r>
      <w:r>
        <w:rPr>
          <w:szCs w:val="24"/>
        </w:rPr>
        <w:t xml:space="preserve"> zbog kaznenog djela iz čl. 146. st. 4. u vezi st. 1. KZ/11.</w:t>
      </w:r>
    </w:p>
    <w:p w:rsidR="00603B79" w:rsidRDefault="00C76882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</w:p>
    <w:p w:rsidR="00603B79" w:rsidRDefault="00C76882">
      <w:pPr>
        <w:ind w:firstLine="720"/>
        <w:jc w:val="both"/>
      </w:pPr>
      <w:r>
        <w:rPr>
          <w:szCs w:val="24"/>
        </w:rPr>
        <w:t xml:space="preserve">Protiv navedenog rješenja žale se oštećenici kao tužitelji </w:t>
      </w:r>
      <w:r w:rsidR="00C94126">
        <w:rPr>
          <w:szCs w:val="24"/>
        </w:rPr>
        <w:t xml:space="preserve">A. K. </w:t>
      </w:r>
      <w:r>
        <w:rPr>
          <w:szCs w:val="24"/>
        </w:rPr>
        <w:t xml:space="preserve">i </w:t>
      </w:r>
      <w:r w:rsidR="00C94126">
        <w:rPr>
          <w:szCs w:val="24"/>
        </w:rPr>
        <w:t xml:space="preserve">M. B. </w:t>
      </w:r>
      <w:r>
        <w:rPr>
          <w:szCs w:val="24"/>
        </w:rPr>
        <w:t xml:space="preserve">putem punomoćnice </w:t>
      </w:r>
      <w:r w:rsidR="00C94126">
        <w:rPr>
          <w:szCs w:val="24"/>
        </w:rPr>
        <w:t>Ž. M.</w:t>
      </w:r>
      <w:r>
        <w:rPr>
          <w:szCs w:val="24"/>
        </w:rPr>
        <w:t>, odvjetnice</w:t>
      </w:r>
      <w:r w:rsidR="00EC61D2">
        <w:rPr>
          <w:szCs w:val="24"/>
        </w:rPr>
        <w:t>, zbog pogrešno utvrđenog činje</w:t>
      </w:r>
      <w:r>
        <w:rPr>
          <w:szCs w:val="24"/>
        </w:rPr>
        <w:t>ničnog stanja i povrede kaznenog zakona s prijedlogom da vijeće Županijskog suda u Varaždinu us</w:t>
      </w:r>
      <w:r w:rsidR="00EC61D2">
        <w:rPr>
          <w:szCs w:val="24"/>
        </w:rPr>
        <w:t>voji žalbu i ukine rješenje sutkinje</w:t>
      </w:r>
      <w:r>
        <w:rPr>
          <w:szCs w:val="24"/>
        </w:rPr>
        <w:t xml:space="preserve"> istrage i predmet vrati na ponovni postupak, odnosno da usvoji </w:t>
      </w:r>
      <w:r>
        <w:rPr>
          <w:szCs w:val="24"/>
        </w:rPr>
        <w:lastRenderedPageBreak/>
        <w:t>prijedlog oštećenika kao tužitelja i da naloži sutkinji istrage provođenje dokazne rad</w:t>
      </w:r>
      <w:r w:rsidR="00EC61D2">
        <w:rPr>
          <w:szCs w:val="24"/>
        </w:rPr>
        <w:t>nje prvog ispitivanja osumnjičenice</w:t>
      </w:r>
      <w:r>
        <w:rPr>
          <w:szCs w:val="24"/>
        </w:rPr>
        <w:t>.</w:t>
      </w:r>
    </w:p>
    <w:p w:rsidR="00603B79" w:rsidRDefault="00603B79">
      <w:pPr>
        <w:jc w:val="both"/>
        <w:rPr>
          <w:szCs w:val="24"/>
        </w:rPr>
      </w:pPr>
    </w:p>
    <w:p w:rsidR="00603B79" w:rsidRDefault="00C76882">
      <w:pPr>
        <w:ind w:firstLine="720"/>
        <w:jc w:val="both"/>
      </w:pPr>
      <w:r>
        <w:rPr>
          <w:szCs w:val="24"/>
        </w:rPr>
        <w:t>Žalba nije osnovana.</w:t>
      </w:r>
    </w:p>
    <w:p w:rsidR="00603B79" w:rsidRDefault="00603B79">
      <w:pPr>
        <w:ind w:firstLine="720"/>
        <w:jc w:val="both"/>
        <w:rPr>
          <w:szCs w:val="24"/>
        </w:rPr>
      </w:pPr>
    </w:p>
    <w:p w:rsidR="00B141D2" w:rsidRDefault="00EC61D2" w:rsidP="00B141D2">
      <w:pPr>
        <w:ind w:firstLine="720"/>
        <w:jc w:val="both"/>
      </w:pPr>
      <w:r>
        <w:rPr>
          <w:szCs w:val="24"/>
        </w:rPr>
        <w:t>Žalbu zbog pogrešno utvrđenog činjeničnog stanja i povrede kaznenog zakona,</w:t>
      </w:r>
      <w:r w:rsidR="00C76882">
        <w:rPr>
          <w:szCs w:val="24"/>
        </w:rPr>
        <w:t xml:space="preserve"> oštećenici kao tužitelji </w:t>
      </w:r>
      <w:r>
        <w:rPr>
          <w:szCs w:val="24"/>
        </w:rPr>
        <w:t xml:space="preserve"> temelje na tvrdnji da osumnjičena </w:t>
      </w:r>
      <w:r w:rsidR="00C94126">
        <w:rPr>
          <w:szCs w:val="24"/>
        </w:rPr>
        <w:t>K. J. T.</w:t>
      </w:r>
      <w:r>
        <w:rPr>
          <w:szCs w:val="24"/>
        </w:rPr>
        <w:t>,</w:t>
      </w:r>
      <w:r w:rsidR="00C76882">
        <w:rPr>
          <w:szCs w:val="24"/>
        </w:rPr>
        <w:t xml:space="preserve"> kao ravnateljica </w:t>
      </w:r>
      <w:r w:rsidR="001E73E5">
        <w:rPr>
          <w:szCs w:val="24"/>
        </w:rPr>
        <w:t>dječjeg vrtića nije</w:t>
      </w:r>
      <w:r w:rsidR="004A45F2">
        <w:rPr>
          <w:szCs w:val="24"/>
        </w:rPr>
        <w:t>,</w:t>
      </w:r>
      <w:r w:rsidR="001E73E5">
        <w:rPr>
          <w:szCs w:val="24"/>
        </w:rPr>
        <w:t xml:space="preserve"> nakon što je posumnjala</w:t>
      </w:r>
      <w:r w:rsidR="00C76882">
        <w:rPr>
          <w:szCs w:val="24"/>
        </w:rPr>
        <w:t xml:space="preserve"> u istinitost potvrde o sistematskom pregledu djeteta</w:t>
      </w:r>
      <w:r>
        <w:rPr>
          <w:szCs w:val="24"/>
        </w:rPr>
        <w:t xml:space="preserve"> oštećenika kao tužitelja,</w:t>
      </w:r>
      <w:r w:rsidR="00C76882">
        <w:rPr>
          <w:szCs w:val="24"/>
        </w:rPr>
        <w:t xml:space="preserve"> </w:t>
      </w:r>
      <w:r>
        <w:rPr>
          <w:szCs w:val="24"/>
        </w:rPr>
        <w:t xml:space="preserve">osobno </w:t>
      </w:r>
      <w:r w:rsidR="00C76882">
        <w:rPr>
          <w:szCs w:val="24"/>
        </w:rPr>
        <w:t xml:space="preserve">podnijela prijavu policiji ili državnom </w:t>
      </w:r>
      <w:r w:rsidR="001E73E5">
        <w:rPr>
          <w:szCs w:val="24"/>
        </w:rPr>
        <w:t>odvjetništvu</w:t>
      </w:r>
      <w:r w:rsidR="00B141D2">
        <w:rPr>
          <w:szCs w:val="24"/>
        </w:rPr>
        <w:t>,</w:t>
      </w:r>
      <w:r w:rsidR="001E73E5">
        <w:rPr>
          <w:szCs w:val="24"/>
        </w:rPr>
        <w:t xml:space="preserve"> već je </w:t>
      </w:r>
      <w:r w:rsidR="00C25D51">
        <w:rPr>
          <w:szCs w:val="24"/>
        </w:rPr>
        <w:t xml:space="preserve">potvrdu s osobnim i zdravstvenim podacima predala </w:t>
      </w:r>
      <w:r w:rsidR="00C76882">
        <w:rPr>
          <w:szCs w:val="24"/>
        </w:rPr>
        <w:t>načeln</w:t>
      </w:r>
      <w:r w:rsidR="00C25D51">
        <w:rPr>
          <w:szCs w:val="24"/>
        </w:rPr>
        <w:t xml:space="preserve">ici općine </w:t>
      </w:r>
      <w:r w:rsidR="00C94126">
        <w:rPr>
          <w:szCs w:val="24"/>
        </w:rPr>
        <w:t>S. M. Đ. S.</w:t>
      </w:r>
      <w:r w:rsidR="00C76882">
        <w:rPr>
          <w:szCs w:val="24"/>
        </w:rPr>
        <w:t xml:space="preserve">, koja je potom podnijela kaznenu prijavu. </w:t>
      </w:r>
      <w:r w:rsidR="00C94126">
        <w:rPr>
          <w:szCs w:val="24"/>
        </w:rPr>
        <w:t xml:space="preserve">Z. </w:t>
      </w:r>
      <w:r w:rsidR="00C76882">
        <w:rPr>
          <w:szCs w:val="24"/>
        </w:rPr>
        <w:t>navedenog žalitelji smatraju da se postupanje osumnjičenice</w:t>
      </w:r>
      <w:r w:rsidR="00F40842">
        <w:rPr>
          <w:szCs w:val="24"/>
        </w:rPr>
        <w:t xml:space="preserve"> u pobijanom rješenju</w:t>
      </w:r>
      <w:r w:rsidR="007718A4">
        <w:rPr>
          <w:szCs w:val="24"/>
        </w:rPr>
        <w:t xml:space="preserve"> pogrešno</w:t>
      </w:r>
      <w:r w:rsidR="00C76882">
        <w:rPr>
          <w:szCs w:val="24"/>
        </w:rPr>
        <w:t xml:space="preserve"> c</w:t>
      </w:r>
      <w:r>
        <w:rPr>
          <w:szCs w:val="24"/>
        </w:rPr>
        <w:t>i</w:t>
      </w:r>
      <w:r w:rsidR="00C76882">
        <w:rPr>
          <w:szCs w:val="24"/>
        </w:rPr>
        <w:t>jeni kao opravdan</w:t>
      </w:r>
      <w:r>
        <w:rPr>
          <w:szCs w:val="24"/>
        </w:rPr>
        <w:t>i</w:t>
      </w:r>
      <w:r w:rsidR="00C76882">
        <w:rPr>
          <w:szCs w:val="24"/>
        </w:rPr>
        <w:t xml:space="preserve"> postupak u smislu odredbe čl. 204. st. 1. </w:t>
      </w:r>
      <w:r w:rsidR="00C92452">
        <w:rPr>
          <w:szCs w:val="24"/>
        </w:rPr>
        <w:t>Zakona o kaznenom postupku</w:t>
      </w:r>
      <w:r w:rsidR="00C92452" w:rsidRPr="00C92452">
        <w:rPr>
          <w:szCs w:val="24"/>
        </w:rPr>
        <w:t>(„Narodne novine" broj 152/08</w:t>
      </w:r>
      <w:r w:rsidR="00B141D2">
        <w:rPr>
          <w:szCs w:val="24"/>
        </w:rPr>
        <w:t>.</w:t>
      </w:r>
      <w:r w:rsidR="00C92452" w:rsidRPr="00C92452">
        <w:rPr>
          <w:szCs w:val="24"/>
        </w:rPr>
        <w:t>, 76/09</w:t>
      </w:r>
      <w:r w:rsidR="00B141D2">
        <w:rPr>
          <w:szCs w:val="24"/>
        </w:rPr>
        <w:t>.</w:t>
      </w:r>
      <w:r w:rsidR="00C92452" w:rsidRPr="00C92452">
        <w:rPr>
          <w:szCs w:val="24"/>
        </w:rPr>
        <w:t>, 80/11</w:t>
      </w:r>
      <w:r w:rsidR="00B141D2">
        <w:rPr>
          <w:szCs w:val="24"/>
        </w:rPr>
        <w:t>.</w:t>
      </w:r>
      <w:r w:rsidR="00C92452" w:rsidRPr="00C92452">
        <w:rPr>
          <w:szCs w:val="24"/>
        </w:rPr>
        <w:t>, 91/12</w:t>
      </w:r>
      <w:r w:rsidR="00B141D2">
        <w:rPr>
          <w:szCs w:val="24"/>
        </w:rPr>
        <w:t>.</w:t>
      </w:r>
      <w:r w:rsidR="00C92452" w:rsidRPr="00C92452">
        <w:rPr>
          <w:szCs w:val="24"/>
        </w:rPr>
        <w:t xml:space="preserve"> - odluka Ustavnog suda, 143/12</w:t>
      </w:r>
      <w:r w:rsidR="00B141D2">
        <w:rPr>
          <w:szCs w:val="24"/>
        </w:rPr>
        <w:t>.</w:t>
      </w:r>
      <w:r w:rsidR="00C92452" w:rsidRPr="00C92452">
        <w:rPr>
          <w:szCs w:val="24"/>
        </w:rPr>
        <w:t>, 56/13</w:t>
      </w:r>
      <w:r w:rsidR="00B141D2">
        <w:rPr>
          <w:szCs w:val="24"/>
        </w:rPr>
        <w:t>.</w:t>
      </w:r>
      <w:r w:rsidR="00C92452" w:rsidRPr="00C92452">
        <w:rPr>
          <w:szCs w:val="24"/>
        </w:rPr>
        <w:t>, 145/13</w:t>
      </w:r>
      <w:r w:rsidR="00B141D2">
        <w:rPr>
          <w:szCs w:val="24"/>
        </w:rPr>
        <w:t>.</w:t>
      </w:r>
      <w:r w:rsidR="00C92452" w:rsidRPr="00C92452">
        <w:rPr>
          <w:szCs w:val="24"/>
        </w:rPr>
        <w:t>, 152/14</w:t>
      </w:r>
      <w:r w:rsidR="00B141D2">
        <w:rPr>
          <w:szCs w:val="24"/>
        </w:rPr>
        <w:t>.</w:t>
      </w:r>
      <w:r w:rsidR="00C92452" w:rsidRPr="00C92452">
        <w:rPr>
          <w:szCs w:val="24"/>
        </w:rPr>
        <w:t>,</w:t>
      </w:r>
      <w:r w:rsidR="00B141D2">
        <w:rPr>
          <w:szCs w:val="24"/>
        </w:rPr>
        <w:t xml:space="preserve"> </w:t>
      </w:r>
      <w:r w:rsidR="00C92452" w:rsidRPr="00C92452">
        <w:rPr>
          <w:szCs w:val="24"/>
        </w:rPr>
        <w:t>70/17</w:t>
      </w:r>
      <w:r w:rsidR="00B141D2">
        <w:rPr>
          <w:szCs w:val="24"/>
        </w:rPr>
        <w:t>.</w:t>
      </w:r>
      <w:r w:rsidR="00C92452" w:rsidRPr="00C92452">
        <w:rPr>
          <w:szCs w:val="24"/>
        </w:rPr>
        <w:t xml:space="preserve"> i 126/19</w:t>
      </w:r>
      <w:r w:rsidR="00B141D2">
        <w:rPr>
          <w:szCs w:val="24"/>
        </w:rPr>
        <w:t>.</w:t>
      </w:r>
      <w:r w:rsidR="00C92452" w:rsidRPr="00C92452">
        <w:rPr>
          <w:szCs w:val="24"/>
        </w:rPr>
        <w:t xml:space="preserve">, dalje: ZKP/08) </w:t>
      </w:r>
      <w:r w:rsidR="00C76882">
        <w:rPr>
          <w:szCs w:val="24"/>
        </w:rPr>
        <w:t>i čl. 302. KZ/11</w:t>
      </w:r>
      <w:r w:rsidR="00C92452">
        <w:rPr>
          <w:szCs w:val="24"/>
        </w:rPr>
        <w:t xml:space="preserve"> </w:t>
      </w:r>
      <w:r w:rsidR="00C25D51">
        <w:rPr>
          <w:szCs w:val="24"/>
        </w:rPr>
        <w:t>što je posljedično dovelo do pogrešnog zaključka o nepostojanju osnovane sumnje da bi osumnjičenica počinila kazneno djelo iz čl. 146. st. 4. u vezi st. 1. KZ/11.</w:t>
      </w:r>
      <w:r>
        <w:rPr>
          <w:szCs w:val="24"/>
        </w:rPr>
        <w:t xml:space="preserve"> </w:t>
      </w:r>
      <w:r w:rsidR="00C76882">
        <w:rPr>
          <w:szCs w:val="24"/>
        </w:rPr>
        <w:t>Pritom</w:t>
      </w:r>
      <w:r w:rsidR="00C25D51">
        <w:rPr>
          <w:szCs w:val="24"/>
        </w:rPr>
        <w:t xml:space="preserve"> žalitelji</w:t>
      </w:r>
      <w:r w:rsidR="00C76882">
        <w:rPr>
          <w:szCs w:val="24"/>
        </w:rPr>
        <w:t xml:space="preserve"> ističu da im je prilikom upisa njihovog djeteta u vrtić uručena suglasnost  za obradu njihovih i djetetovih osobnih podataka s popisom podataka za čiju se obradu traži suglasnost te oni nisu dali suglasnost za obradu podataka o specifičnim razvojnim i zdravstvenim potrebama, primljenim cjepivima, zdravstvenom statusu djeteta, niti da se takvi podaci bez posebne suglasnosti dostavljaju općini </w:t>
      </w:r>
      <w:r w:rsidR="00C94126">
        <w:rPr>
          <w:szCs w:val="24"/>
        </w:rPr>
        <w:t xml:space="preserve">S. M. </w:t>
      </w:r>
      <w:r w:rsidR="00C76882">
        <w:rPr>
          <w:szCs w:val="24"/>
        </w:rPr>
        <w:t xml:space="preserve">kao osnivaču dječjeg vrtića. </w:t>
      </w:r>
    </w:p>
    <w:p w:rsidR="00B141D2" w:rsidRDefault="00B141D2" w:rsidP="00B141D2">
      <w:pPr>
        <w:ind w:firstLine="720"/>
        <w:jc w:val="both"/>
      </w:pPr>
    </w:p>
    <w:p w:rsidR="009E5BC0" w:rsidRPr="00B141D2" w:rsidRDefault="00C76882" w:rsidP="00B141D2">
      <w:pPr>
        <w:ind w:firstLine="720"/>
        <w:jc w:val="both"/>
      </w:pPr>
      <w:r>
        <w:rPr>
          <w:szCs w:val="24"/>
        </w:rPr>
        <w:t>Protivno žalbenim navodi</w:t>
      </w:r>
      <w:r w:rsidR="00B141D2">
        <w:rPr>
          <w:szCs w:val="24"/>
        </w:rPr>
        <w:t>ma</w:t>
      </w:r>
      <w:r>
        <w:rPr>
          <w:szCs w:val="24"/>
        </w:rPr>
        <w:t xml:space="preserve">, u ovom slučaju odlučna je činjenica da je osumnjičena  </w:t>
      </w:r>
      <w:r w:rsidR="00C94126">
        <w:rPr>
          <w:szCs w:val="24"/>
        </w:rPr>
        <w:t xml:space="preserve">K. J. T. </w:t>
      </w:r>
      <w:r>
        <w:rPr>
          <w:szCs w:val="24"/>
        </w:rPr>
        <w:t>kao ravnateljic</w:t>
      </w:r>
      <w:r w:rsidR="000B2C90">
        <w:rPr>
          <w:szCs w:val="24"/>
        </w:rPr>
        <w:t xml:space="preserve">a dječjeg vrtića </w:t>
      </w:r>
      <w:r w:rsidR="00C94126">
        <w:rPr>
          <w:szCs w:val="24"/>
        </w:rPr>
        <w:t xml:space="preserve">K. </w:t>
      </w:r>
      <w:r w:rsidR="000B2C90">
        <w:rPr>
          <w:szCs w:val="24"/>
        </w:rPr>
        <w:t>predala</w:t>
      </w:r>
      <w:r>
        <w:rPr>
          <w:szCs w:val="24"/>
        </w:rPr>
        <w:t xml:space="preserve"> načelnici </w:t>
      </w:r>
      <w:r w:rsidR="00C94126">
        <w:rPr>
          <w:szCs w:val="24"/>
        </w:rPr>
        <w:t xml:space="preserve">O. S. M. </w:t>
      </w:r>
      <w:r w:rsidR="00EC61D2">
        <w:rPr>
          <w:szCs w:val="24"/>
        </w:rPr>
        <w:t>kao osnivaču</w:t>
      </w:r>
      <w:r>
        <w:rPr>
          <w:szCs w:val="24"/>
        </w:rPr>
        <w:t xml:space="preserve"> i vlasniku navedenog dječjeg vrtića liječničku potvrd</w:t>
      </w:r>
      <w:r w:rsidR="00EC61D2">
        <w:rPr>
          <w:szCs w:val="24"/>
        </w:rPr>
        <w:t>u o obavljenom sistematskom zdr</w:t>
      </w:r>
      <w:r>
        <w:rPr>
          <w:szCs w:val="24"/>
        </w:rPr>
        <w:t>a</w:t>
      </w:r>
      <w:r w:rsidR="00EC61D2">
        <w:rPr>
          <w:szCs w:val="24"/>
        </w:rPr>
        <w:t>v</w:t>
      </w:r>
      <w:r>
        <w:rPr>
          <w:szCs w:val="24"/>
        </w:rPr>
        <w:t>stvenom pregledu predškolskog djeteta oštećenika ka</w:t>
      </w:r>
      <w:r w:rsidR="000B2C90">
        <w:rPr>
          <w:szCs w:val="24"/>
        </w:rPr>
        <w:t>o tužitelja</w:t>
      </w:r>
      <w:r>
        <w:rPr>
          <w:szCs w:val="24"/>
        </w:rPr>
        <w:t xml:space="preserve"> jer je posumnjala da se radi o krivotvorenoj </w:t>
      </w:r>
      <w:r w:rsidR="000B2C90">
        <w:rPr>
          <w:szCs w:val="24"/>
        </w:rPr>
        <w:t>ispravi</w:t>
      </w:r>
      <w:r w:rsidR="007718A4">
        <w:rPr>
          <w:szCs w:val="24"/>
        </w:rPr>
        <w:t>.</w:t>
      </w:r>
      <w:r>
        <w:rPr>
          <w:szCs w:val="24"/>
        </w:rPr>
        <w:t xml:space="preserve"> Načelnica općine  je podnijela kaznenu prijavu protiv oštećene kao tužiteljice</w:t>
      </w:r>
      <w:r w:rsidR="000B2C90">
        <w:rPr>
          <w:szCs w:val="24"/>
        </w:rPr>
        <w:t xml:space="preserve"> </w:t>
      </w:r>
      <w:r w:rsidR="00C94126">
        <w:rPr>
          <w:szCs w:val="24"/>
        </w:rPr>
        <w:t xml:space="preserve">A. K. </w:t>
      </w:r>
      <w:r w:rsidR="000B2C90">
        <w:rPr>
          <w:szCs w:val="24"/>
        </w:rPr>
        <w:t>te je O</w:t>
      </w:r>
      <w:r w:rsidR="00FE1A9E">
        <w:rPr>
          <w:szCs w:val="24"/>
        </w:rPr>
        <w:t>pćinsko državno odvjetništvo</w:t>
      </w:r>
      <w:r w:rsidR="000B2C90">
        <w:rPr>
          <w:szCs w:val="24"/>
        </w:rPr>
        <w:t xml:space="preserve"> u Čakovcu  protiv nje i podiglo </w:t>
      </w:r>
      <w:r>
        <w:rPr>
          <w:szCs w:val="24"/>
        </w:rPr>
        <w:t>optužnicu 5. srpnja 2019. zbog sumnje na počinjenje kaznenog djela krivotvorenja isprave iz čl. 278. st. 1. KZ/11. Dakle,</w:t>
      </w:r>
      <w:r w:rsidR="003E7AFC">
        <w:rPr>
          <w:szCs w:val="24"/>
        </w:rPr>
        <w:t xml:space="preserve"> namjera osumnjičenice nije bila nedozvoljeno uporabiti medicinski podatak djeteta oštećenika kao tužitelja već </w:t>
      </w:r>
      <w:r>
        <w:rPr>
          <w:szCs w:val="24"/>
        </w:rPr>
        <w:t xml:space="preserve"> </w:t>
      </w:r>
      <w:r w:rsidR="003E7AFC">
        <w:rPr>
          <w:szCs w:val="24"/>
        </w:rPr>
        <w:t>je postupala kao osoba koja je</w:t>
      </w:r>
      <w:r>
        <w:rPr>
          <w:szCs w:val="24"/>
        </w:rPr>
        <w:t xml:space="preserve"> imala opravdanog razloga vje</w:t>
      </w:r>
      <w:r w:rsidR="000B2C90">
        <w:rPr>
          <w:szCs w:val="24"/>
        </w:rPr>
        <w:t>ro</w:t>
      </w:r>
      <w:r>
        <w:rPr>
          <w:szCs w:val="24"/>
        </w:rPr>
        <w:t xml:space="preserve">vati da </w:t>
      </w:r>
      <w:r w:rsidR="005D6944">
        <w:rPr>
          <w:szCs w:val="24"/>
        </w:rPr>
        <w:t>joj je oštećenica kao</w:t>
      </w:r>
      <w:r w:rsidR="00C012E0">
        <w:rPr>
          <w:szCs w:val="24"/>
        </w:rPr>
        <w:t xml:space="preserve"> tužiteljica pred</w:t>
      </w:r>
      <w:r w:rsidR="005D6944">
        <w:rPr>
          <w:szCs w:val="24"/>
        </w:rPr>
        <w:t>a</w:t>
      </w:r>
      <w:r w:rsidR="00C012E0">
        <w:rPr>
          <w:szCs w:val="24"/>
        </w:rPr>
        <w:t>la krivotvorenu ispravu</w:t>
      </w:r>
      <w:r w:rsidR="000B2C90">
        <w:rPr>
          <w:szCs w:val="24"/>
        </w:rPr>
        <w:t>, od</w:t>
      </w:r>
      <w:r w:rsidR="00C012E0">
        <w:rPr>
          <w:szCs w:val="24"/>
        </w:rPr>
        <w:t>nosno da je počinila</w:t>
      </w:r>
      <w:r>
        <w:rPr>
          <w:szCs w:val="24"/>
        </w:rPr>
        <w:t xml:space="preserve"> kazneno djelo za koje se progoni po službenoj dužnost</w:t>
      </w:r>
      <w:r w:rsidR="00B141D2">
        <w:rPr>
          <w:szCs w:val="24"/>
        </w:rPr>
        <w:t>i</w:t>
      </w:r>
      <w:r w:rsidR="000B2C90">
        <w:rPr>
          <w:szCs w:val="24"/>
        </w:rPr>
        <w:t>,</w:t>
      </w:r>
      <w:r>
        <w:rPr>
          <w:szCs w:val="24"/>
        </w:rPr>
        <w:t xml:space="preserve"> </w:t>
      </w:r>
      <w:r w:rsidR="000B2C90">
        <w:rPr>
          <w:szCs w:val="24"/>
        </w:rPr>
        <w:t>te je postupila pravilno kada je o tome obavijestila nadređenu osobu</w:t>
      </w:r>
      <w:r w:rsidR="003E7AFC">
        <w:rPr>
          <w:szCs w:val="24"/>
        </w:rPr>
        <w:t>,</w:t>
      </w:r>
      <w:r w:rsidR="003E7AFC" w:rsidRPr="003E7AFC">
        <w:rPr>
          <w:szCs w:val="24"/>
        </w:rPr>
        <w:t xml:space="preserve"> načelnicu općine </w:t>
      </w:r>
      <w:r w:rsidR="00C94126">
        <w:rPr>
          <w:szCs w:val="24"/>
        </w:rPr>
        <w:t>S. M. Đ. S.</w:t>
      </w:r>
      <w:r w:rsidR="000B2C90">
        <w:rPr>
          <w:szCs w:val="24"/>
        </w:rPr>
        <w:t xml:space="preserve">. </w:t>
      </w:r>
      <w:r>
        <w:rPr>
          <w:szCs w:val="24"/>
        </w:rPr>
        <w:t>Stoga</w:t>
      </w:r>
      <w:r w:rsidR="000B2C90">
        <w:rPr>
          <w:szCs w:val="24"/>
        </w:rPr>
        <w:t xml:space="preserve"> je sutkinja istrage </w:t>
      </w:r>
      <w:r w:rsidR="000B2C90">
        <w:rPr>
          <w:szCs w:val="24"/>
        </w:rPr>
        <w:lastRenderedPageBreak/>
        <w:t>pravilno zaključila da na</w:t>
      </w:r>
      <w:r w:rsidR="00C25D51">
        <w:rPr>
          <w:szCs w:val="24"/>
        </w:rPr>
        <w:t xml:space="preserve">mjera osumnjičenice nije bila </w:t>
      </w:r>
      <w:r w:rsidR="000B2C90">
        <w:rPr>
          <w:szCs w:val="24"/>
        </w:rPr>
        <w:t xml:space="preserve">neovlašteno </w:t>
      </w:r>
      <w:r w:rsidR="00B141D2">
        <w:rPr>
          <w:szCs w:val="24"/>
        </w:rPr>
        <w:t>koristiti navedene podatke</w:t>
      </w:r>
      <w:r w:rsidR="00C25D51">
        <w:rPr>
          <w:szCs w:val="24"/>
        </w:rPr>
        <w:t>, već isključivo</w:t>
      </w:r>
      <w:r>
        <w:rPr>
          <w:szCs w:val="24"/>
        </w:rPr>
        <w:t xml:space="preserve"> prijav</w:t>
      </w:r>
      <w:r w:rsidR="00C25D51">
        <w:rPr>
          <w:szCs w:val="24"/>
        </w:rPr>
        <w:t>a</w:t>
      </w:r>
      <w:r w:rsidR="00C012E0">
        <w:rPr>
          <w:szCs w:val="24"/>
        </w:rPr>
        <w:t xml:space="preserve"> zbog sumnje na počinjenje kaznenog djela. Dakle</w:t>
      </w:r>
      <w:r w:rsidR="00457097">
        <w:rPr>
          <w:szCs w:val="24"/>
        </w:rPr>
        <w:t>,</w:t>
      </w:r>
      <w:r w:rsidR="00C012E0">
        <w:rPr>
          <w:szCs w:val="24"/>
        </w:rPr>
        <w:t xml:space="preserve"> </w:t>
      </w:r>
      <w:r w:rsidR="00FE1A9E">
        <w:rPr>
          <w:szCs w:val="24"/>
        </w:rPr>
        <w:t>b</w:t>
      </w:r>
      <w:r w:rsidR="00C012E0">
        <w:rPr>
          <w:szCs w:val="24"/>
        </w:rPr>
        <w:t xml:space="preserve">ez obzira što osumnjičenica nije sama podnijela kaznenu prijavu, </w:t>
      </w:r>
      <w:r w:rsidR="005D6944">
        <w:rPr>
          <w:szCs w:val="24"/>
        </w:rPr>
        <w:t>ista je postupila u smislu odredbe</w:t>
      </w:r>
      <w:r w:rsidR="00B141D2">
        <w:rPr>
          <w:szCs w:val="24"/>
        </w:rPr>
        <w:t xml:space="preserve"> čl. 204. st.1. ZKP/08</w:t>
      </w:r>
      <w:r w:rsidR="005D6944">
        <w:rPr>
          <w:szCs w:val="24"/>
        </w:rPr>
        <w:t xml:space="preserve">, budući da je njezino postupanje bilo sukladno hijerarhiji nadređenih osoba </w:t>
      </w:r>
      <w:r w:rsidR="005D6944" w:rsidRPr="005D6944">
        <w:rPr>
          <w:szCs w:val="24"/>
        </w:rPr>
        <w:t xml:space="preserve">dječjeg vrtića </w:t>
      </w:r>
      <w:r w:rsidR="00C94126">
        <w:rPr>
          <w:szCs w:val="24"/>
        </w:rPr>
        <w:t xml:space="preserve">K. </w:t>
      </w:r>
      <w:r w:rsidR="00C92452">
        <w:rPr>
          <w:szCs w:val="24"/>
        </w:rPr>
        <w:t>U slučaju da osumnjičenica nije postupila na navedeni način, ista bi se izložila mogućnosti kaznenog progona za kazneno djelo neprijavljivanja kaznenog djela iz čl. 302. KZ/11.</w:t>
      </w:r>
      <w:r w:rsidR="005D6944">
        <w:rPr>
          <w:szCs w:val="24"/>
        </w:rPr>
        <w:t xml:space="preserve"> </w:t>
      </w:r>
      <w:r>
        <w:rPr>
          <w:szCs w:val="24"/>
        </w:rPr>
        <w:t>Ujedno valja istaknuti da i</w:t>
      </w:r>
      <w:r w:rsidR="00B141D2">
        <w:rPr>
          <w:szCs w:val="24"/>
        </w:rPr>
        <w:t xml:space="preserve"> </w:t>
      </w:r>
      <w:r>
        <w:rPr>
          <w:szCs w:val="24"/>
        </w:rPr>
        <w:t xml:space="preserve">propisi </w:t>
      </w:r>
      <w:r w:rsidR="003E7AFC">
        <w:rPr>
          <w:szCs w:val="24"/>
        </w:rPr>
        <w:t>koji reguli</w:t>
      </w:r>
      <w:r>
        <w:rPr>
          <w:szCs w:val="24"/>
        </w:rPr>
        <w:t>raju način obrade osobnih podataka</w:t>
      </w:r>
      <w:r w:rsidR="009E5BC0">
        <w:rPr>
          <w:szCs w:val="24"/>
        </w:rPr>
        <w:t xml:space="preserve"> navode</w:t>
      </w:r>
      <w:r>
        <w:rPr>
          <w:szCs w:val="24"/>
        </w:rPr>
        <w:t xml:space="preserve"> kao jedan od slučajeva kada nije potrebna dozvola</w:t>
      </w:r>
      <w:r w:rsidR="003E7AFC">
        <w:rPr>
          <w:szCs w:val="24"/>
        </w:rPr>
        <w:t xml:space="preserve"> </w:t>
      </w:r>
      <w:r w:rsidR="00C25D51">
        <w:rPr>
          <w:szCs w:val="24"/>
        </w:rPr>
        <w:t>osobe čiji se podaci obrađuju,</w:t>
      </w:r>
      <w:r>
        <w:rPr>
          <w:szCs w:val="24"/>
        </w:rPr>
        <w:t xml:space="preserve"> </w:t>
      </w:r>
      <w:r w:rsidR="00C25D51">
        <w:rPr>
          <w:szCs w:val="24"/>
        </w:rPr>
        <w:t xml:space="preserve">slučaj ako je tako  potrebno postupiti </w:t>
      </w:r>
      <w:r>
        <w:rPr>
          <w:szCs w:val="24"/>
        </w:rPr>
        <w:t>zbog otkrivanja i gonjen</w:t>
      </w:r>
      <w:r w:rsidR="00C25D51">
        <w:rPr>
          <w:szCs w:val="24"/>
        </w:rPr>
        <w:t>ja počinitelja kaznenog djela.</w:t>
      </w:r>
      <w:r>
        <w:rPr>
          <w:szCs w:val="24"/>
        </w:rPr>
        <w:t xml:space="preserve"> Prema odredbi čl. 23. Zakona o zaštiti osobnih p</w:t>
      </w:r>
      <w:r w:rsidR="00522B0D">
        <w:rPr>
          <w:szCs w:val="24"/>
        </w:rPr>
        <w:t xml:space="preserve">odataka, osobni podaci mogu se </w:t>
      </w:r>
      <w:r>
        <w:rPr>
          <w:szCs w:val="24"/>
        </w:rPr>
        <w:t>obrađivati i bez dozvole osobe čiji se podaci obrađuju ako je to potrebno i zbog otkrivanja i gonjenja počinitelja kaznenog djela. Prema Zakonu o provedbi opće uredbe o zaštiti podataka</w:t>
      </w:r>
      <w:r w:rsidR="009E5BC0">
        <w:rPr>
          <w:szCs w:val="24"/>
        </w:rPr>
        <w:t xml:space="preserve"> (</w:t>
      </w:r>
      <w:r w:rsidR="00D623C7">
        <w:rPr>
          <w:szCs w:val="24"/>
        </w:rPr>
        <w:t>"</w:t>
      </w:r>
      <w:r w:rsidR="00B141D2">
        <w:rPr>
          <w:szCs w:val="24"/>
        </w:rPr>
        <w:t>Narodne novine" broj:</w:t>
      </w:r>
      <w:r w:rsidR="009E5BC0">
        <w:rPr>
          <w:szCs w:val="24"/>
        </w:rPr>
        <w:t xml:space="preserve"> 42/18</w:t>
      </w:r>
      <w:r w:rsidR="00B141D2">
        <w:rPr>
          <w:szCs w:val="24"/>
        </w:rPr>
        <w:t>.</w:t>
      </w:r>
      <w:r w:rsidR="009E5BC0">
        <w:rPr>
          <w:szCs w:val="24"/>
        </w:rPr>
        <w:t xml:space="preserve">) koji je stupio na snagu </w:t>
      </w:r>
      <w:r w:rsidR="00B530EA">
        <w:rPr>
          <w:szCs w:val="24"/>
        </w:rPr>
        <w:t>25</w:t>
      </w:r>
      <w:r w:rsidR="00B141D2">
        <w:rPr>
          <w:szCs w:val="24"/>
        </w:rPr>
        <w:t>. svibnja</w:t>
      </w:r>
      <w:r w:rsidR="009E5BC0">
        <w:rPr>
          <w:szCs w:val="24"/>
        </w:rPr>
        <w:t xml:space="preserve"> 2018.</w:t>
      </w:r>
      <w:r w:rsidR="00522B0D">
        <w:rPr>
          <w:szCs w:val="24"/>
        </w:rPr>
        <w:t xml:space="preserve"> stupanjem na snagu kojeg je prestao važ</w:t>
      </w:r>
      <w:r>
        <w:rPr>
          <w:szCs w:val="24"/>
        </w:rPr>
        <w:t xml:space="preserve">iti </w:t>
      </w:r>
      <w:r w:rsidR="00522B0D">
        <w:rPr>
          <w:szCs w:val="24"/>
        </w:rPr>
        <w:t xml:space="preserve"> </w:t>
      </w:r>
      <w:r w:rsidR="00522B0D" w:rsidRPr="00522B0D">
        <w:rPr>
          <w:szCs w:val="24"/>
        </w:rPr>
        <w:t>Zakona o zaštiti osobnih podataka</w:t>
      </w:r>
      <w:r w:rsidR="00522B0D">
        <w:rPr>
          <w:szCs w:val="24"/>
        </w:rPr>
        <w:t>,</w:t>
      </w:r>
      <w:r w:rsidR="009E5BC0">
        <w:rPr>
          <w:szCs w:val="24"/>
        </w:rPr>
        <w:t xml:space="preserve"> u čl. 1. st. 2. propis</w:t>
      </w:r>
      <w:r w:rsidR="00457097">
        <w:rPr>
          <w:szCs w:val="24"/>
        </w:rPr>
        <w:t>ano je</w:t>
      </w:r>
      <w:r w:rsidR="009E5BC0">
        <w:rPr>
          <w:szCs w:val="24"/>
        </w:rPr>
        <w:t xml:space="preserve"> da se </w:t>
      </w:r>
      <w:r w:rsidR="00522B0D">
        <w:rPr>
          <w:szCs w:val="24"/>
        </w:rPr>
        <w:t>odredbe tog zakona</w:t>
      </w:r>
      <w:r w:rsidR="009E5BC0" w:rsidRPr="009E5BC0">
        <w:rPr>
          <w:szCs w:val="24"/>
        </w:rPr>
        <w:t xml:space="preserve"> ne </w:t>
      </w:r>
      <w:r w:rsidR="00522B0D">
        <w:rPr>
          <w:szCs w:val="24"/>
        </w:rPr>
        <w:t>odnose</w:t>
      </w:r>
      <w:r w:rsidR="009E5BC0" w:rsidRPr="009E5BC0">
        <w:rPr>
          <w:szCs w:val="24"/>
        </w:rPr>
        <w:t xml:space="preserve"> na obradu osobnih podataka koju obavljaju nadležna tijela u svrhu sprečavanja, istrage, otkrivanja ili progona kaznenih djela ili izvršavanja kaznenih sankcija, uključujući zaštitu od prijetnji javnoj sigurnosti i njihova sprečavanja, kao ni na područje nacionalne sigurnosti i obrane.</w:t>
      </w:r>
      <w:r w:rsidR="00522B0D" w:rsidRPr="00522B0D">
        <w:rPr>
          <w:szCs w:val="24"/>
        </w:rPr>
        <w:t xml:space="preserve"> </w:t>
      </w:r>
      <w:r w:rsidR="00522B0D">
        <w:rPr>
          <w:szCs w:val="24"/>
        </w:rPr>
        <w:t xml:space="preserve">Valja dodati da prema stavu ovog drugostupanjskog vijeća </w:t>
      </w:r>
      <w:r w:rsidR="002B67E7">
        <w:rPr>
          <w:szCs w:val="24"/>
        </w:rPr>
        <w:t>cilj navedene zakonske regulative o zaštiti podataka, te</w:t>
      </w:r>
      <w:r w:rsidR="00522B0D">
        <w:rPr>
          <w:szCs w:val="24"/>
        </w:rPr>
        <w:t xml:space="preserve"> </w:t>
      </w:r>
      <w:r w:rsidR="002B67E7" w:rsidRPr="002B67E7">
        <w:rPr>
          <w:szCs w:val="24"/>
        </w:rPr>
        <w:t>Uredba (EU) Europskog parlamenta i Vijeća od 27. travnja 2016. o zaštiti pojedinaca u vezi s obradom osobnih podataka i o slobodama kretanja takvih podataka te o stavljanju izvan snage Direktive 95/46/EZ (Opća uredba o zaštiti podataka) u čl.  6. st</w:t>
      </w:r>
      <w:r w:rsidR="002B67E7" w:rsidRPr="009B76E6">
        <w:t>. 1. toč. a) nije omogućiti pojedincima da pozivom na iste čine kaznena djela</w:t>
      </w:r>
      <w:r w:rsidR="00B141D2">
        <w:t>,</w:t>
      </w:r>
      <w:r w:rsidR="002B67E7" w:rsidRPr="009B76E6">
        <w:t xml:space="preserve"> već se </w:t>
      </w:r>
      <w:r w:rsidR="009B76E6" w:rsidRPr="009B76E6">
        <w:t>štiti pojedinca da se njegovi podaci ne bi nezakonito upotrebljavali u marketinške, ekonomske, političke ili bilo koje druge nezakonite</w:t>
      </w:r>
      <w:r w:rsidR="009B76E6">
        <w:t xml:space="preserve"> svrhe.</w:t>
      </w:r>
    </w:p>
    <w:p w:rsidR="00603B79" w:rsidRDefault="00603B79" w:rsidP="00522B0D">
      <w:pPr>
        <w:ind w:firstLine="720"/>
        <w:jc w:val="both"/>
        <w:rPr>
          <w:szCs w:val="24"/>
        </w:rPr>
      </w:pPr>
    </w:p>
    <w:p w:rsidR="00603B79" w:rsidRDefault="00522B0D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Pr="00522B0D">
        <w:rPr>
          <w:szCs w:val="24"/>
        </w:rPr>
        <w:t>Slijedom navedenog</w:t>
      </w:r>
      <w:r w:rsidR="00C76882">
        <w:rPr>
          <w:szCs w:val="24"/>
        </w:rPr>
        <w:t xml:space="preserve"> žalba oštećenika kao tužitelja nije osnovana, niti su nađene povrede na koje ovo vijeće sukladno čl. 494. st. 4. ZKP/08 pazi po službenoj dužnosti, temeljem čl. 494. st. 3. toč. 2. ZKP/08</w:t>
      </w:r>
      <w:r>
        <w:rPr>
          <w:szCs w:val="24"/>
        </w:rPr>
        <w:t xml:space="preserve"> te je</w:t>
      </w:r>
      <w:r w:rsidR="00C76882">
        <w:rPr>
          <w:szCs w:val="24"/>
        </w:rPr>
        <w:t xml:space="preserve"> valjalo je riješiti kao u izreci.</w:t>
      </w:r>
    </w:p>
    <w:p w:rsidR="00603B79" w:rsidRDefault="00603B79">
      <w:pPr>
        <w:ind w:firstLine="720"/>
        <w:jc w:val="both"/>
        <w:rPr>
          <w:szCs w:val="24"/>
        </w:rPr>
      </w:pPr>
    </w:p>
    <w:p w:rsidR="00603B79" w:rsidRDefault="00C76882">
      <w:pPr>
        <w:jc w:val="center"/>
      </w:pPr>
      <w:r>
        <w:rPr>
          <w:szCs w:val="24"/>
        </w:rPr>
        <w:t xml:space="preserve">U Varaždinu 5. veljače 2020. </w:t>
      </w:r>
    </w:p>
    <w:p w:rsidR="00603B79" w:rsidRDefault="00603B79">
      <w:pPr>
        <w:rPr>
          <w:bCs/>
          <w:szCs w:val="24"/>
        </w:rPr>
      </w:pPr>
    </w:p>
    <w:tbl>
      <w:tblPr>
        <w:tblStyle w:val="Reetkatablice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53"/>
        <w:gridCol w:w="4394"/>
      </w:tblGrid>
      <w:tr w:rsidR="00603B79" w:rsidTr="00777770">
        <w:trPr>
          <w:trHeight w:val="1464"/>
        </w:trPr>
        <w:tc>
          <w:tcPr>
            <w:tcW w:w="2517" w:type="dxa"/>
            <w:shd w:val="clear" w:color="auto" w:fill="auto"/>
          </w:tcPr>
          <w:p w:rsidR="00603B79" w:rsidRPr="00522B0D" w:rsidRDefault="00603B7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2553" w:type="dxa"/>
            <w:shd w:val="clear" w:color="auto" w:fill="auto"/>
          </w:tcPr>
          <w:p w:rsidR="00603B79" w:rsidRPr="00522B0D" w:rsidRDefault="00603B79">
            <w:pPr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auto"/>
          </w:tcPr>
          <w:p w:rsidR="00777770" w:rsidRDefault="00777770" w:rsidP="0077777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  <w:p w:rsidR="00B141D2" w:rsidRPr="00522B0D" w:rsidRDefault="00777770" w:rsidP="0077777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Predsjednica</w:t>
            </w:r>
            <w:r w:rsidR="00C76882" w:rsidRPr="00522B0D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vijeća</w:t>
            </w:r>
          </w:p>
          <w:p w:rsidR="00603B79" w:rsidRPr="00522B0D" w:rsidRDefault="00777770" w:rsidP="00777770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Nada Marincil</w:t>
            </w:r>
            <w:r w:rsidR="00C76882" w:rsidRPr="00522B0D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v. r.</w:t>
            </w:r>
          </w:p>
        </w:tc>
      </w:tr>
    </w:tbl>
    <w:p w:rsidR="00B530EA" w:rsidRDefault="00777770" w:rsidP="00777770">
      <w:pPr>
        <w:ind w:left="5040"/>
        <w:jc w:val="center"/>
      </w:pPr>
      <w:r>
        <w:lastRenderedPageBreak/>
        <w:t>Za točnost otpravka – ovlašteni službenik</w:t>
      </w:r>
    </w:p>
    <w:p w:rsidR="00777770" w:rsidRDefault="00777770" w:rsidP="00777770">
      <w:pPr>
        <w:ind w:left="5040"/>
        <w:jc w:val="center"/>
      </w:pPr>
      <w:r>
        <w:t>Upraviteljica sudske pisarnice</w:t>
      </w:r>
    </w:p>
    <w:p w:rsidR="00777770" w:rsidRDefault="00777770" w:rsidP="00777770">
      <w:pPr>
        <w:ind w:left="5040"/>
        <w:jc w:val="center"/>
      </w:pPr>
      <w:r>
        <w:t>Mirjana Badanjak</w:t>
      </w:r>
    </w:p>
    <w:tbl>
      <w:tblPr>
        <w:tblStyle w:val="Reetkatablice1"/>
        <w:tblW w:w="2517" w:type="dxa"/>
        <w:tblLook w:val="04A0" w:firstRow="1" w:lastRow="0" w:firstColumn="1" w:lastColumn="0" w:noHBand="0" w:noVBand="1"/>
      </w:tblPr>
      <w:tblGrid>
        <w:gridCol w:w="2517"/>
      </w:tblGrid>
      <w:tr w:rsidR="00777770" w:rsidTr="00777770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7770" w:rsidRDefault="00777770">
            <w:pPr>
              <w:pageBreakBefore/>
              <w:jc w:val="center"/>
            </w:pPr>
          </w:p>
        </w:tc>
      </w:tr>
    </w:tbl>
    <w:p w:rsidR="00603B79" w:rsidRDefault="00603B79"/>
    <w:sectPr w:rsidR="00603B79">
      <w:headerReference w:type="default" r:id="rId8"/>
      <w:pgSz w:w="11906" w:h="16838"/>
      <w:pgMar w:top="1417" w:right="1417" w:bottom="1417" w:left="1417" w:header="72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C3" w:rsidRDefault="006413C3">
      <w:r>
        <w:separator/>
      </w:r>
    </w:p>
  </w:endnote>
  <w:endnote w:type="continuationSeparator" w:id="0">
    <w:p w:rsidR="006413C3" w:rsidRDefault="0064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C3" w:rsidRDefault="006413C3">
      <w:r>
        <w:separator/>
      </w:r>
    </w:p>
  </w:footnote>
  <w:footnote w:type="continuationSeparator" w:id="0">
    <w:p w:rsidR="006413C3" w:rsidRDefault="0064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79" w:rsidRDefault="00C76882">
    <w:pPr>
      <w:pStyle w:val="Zaglavlje"/>
      <w:jc w:val="right"/>
      <w:rPr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D085A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3B79" w:rsidRDefault="00C76882">
                          <w:pPr>
                            <w:pStyle w:val="Zaglavlj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7F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085AD8" id="Frame1" o:spid="_x0000_s1026" style="position:absolute;left:0;text-align:left;margin-left:0;margin-top:.05pt;width:6.1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" filled="f" stroked="f">
              <v:textbox style="mso-fit-shape-to-text:t" inset="0,0,0,0">
                <w:txbxContent>
                  <w:p w:rsidR="00603B79" w:rsidRDefault="00C76882">
                    <w:pPr>
                      <w:pStyle w:val="Zaglavlj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7F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szCs w:val="24"/>
      </w:rPr>
      <w:t>Poslovni broj: 22 Kv II-301/2019-3</w:t>
    </w:r>
  </w:p>
  <w:p w:rsidR="00603B79" w:rsidRDefault="005D6944">
    <w:pPr>
      <w:spacing w:before="25"/>
      <w:jc w:val="right"/>
      <w:rPr>
        <w:szCs w:val="24"/>
      </w:rPr>
    </w:pPr>
    <w:r>
      <w:rPr>
        <w:szCs w:val="24"/>
      </w:rPr>
      <w:t>3 Kir-749/2019</w:t>
    </w:r>
    <w:r w:rsidR="00B141D2">
      <w:rPr>
        <w:szCs w:val="24"/>
      </w:rPr>
      <w:t>-7</w:t>
    </w:r>
  </w:p>
  <w:p w:rsidR="00603B79" w:rsidRDefault="00603B79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79"/>
    <w:rsid w:val="000B2C90"/>
    <w:rsid w:val="001168C4"/>
    <w:rsid w:val="001E73E5"/>
    <w:rsid w:val="002B67E7"/>
    <w:rsid w:val="003C0CF5"/>
    <w:rsid w:val="003E7AFC"/>
    <w:rsid w:val="00457097"/>
    <w:rsid w:val="004A45F2"/>
    <w:rsid w:val="00522B0D"/>
    <w:rsid w:val="005D6944"/>
    <w:rsid w:val="00603B79"/>
    <w:rsid w:val="006413C3"/>
    <w:rsid w:val="00754A11"/>
    <w:rsid w:val="007718A4"/>
    <w:rsid w:val="00777770"/>
    <w:rsid w:val="00784CEF"/>
    <w:rsid w:val="00837F0C"/>
    <w:rsid w:val="0097710E"/>
    <w:rsid w:val="009B76E6"/>
    <w:rsid w:val="009E5BC0"/>
    <w:rsid w:val="00B141D2"/>
    <w:rsid w:val="00B530EA"/>
    <w:rsid w:val="00BA2759"/>
    <w:rsid w:val="00C012E0"/>
    <w:rsid w:val="00C25D51"/>
    <w:rsid w:val="00C76882"/>
    <w:rsid w:val="00C92452"/>
    <w:rsid w:val="00C94126"/>
    <w:rsid w:val="00D434FD"/>
    <w:rsid w:val="00D623C7"/>
    <w:rsid w:val="00E118D9"/>
    <w:rsid w:val="00EC61D2"/>
    <w:rsid w:val="00F40842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5234F-43AA-4C8B-AAA3-3A940C83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Popis">
    <w:name w:val="List"/>
    <w:basedOn w:val="TextBody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semiHidden/>
    <w:qFormat/>
    <w:rsid w:val="007E7EA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rsid w:val="00EA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EC55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6BC2-95AA-4C70-89F1-C2FF081A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PRESUDA ILI RJEŠENJE -</vt:lpstr>
    </vt:vector>
  </TitlesOfParts>
  <Company>MINISTARSTVO PRAVOSUĐA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PRESUDA ILI RJEŠENJE -</dc:title>
  <dc:creator>sudac</dc:creator>
  <cp:lastModifiedBy>Dragana Đula</cp:lastModifiedBy>
  <cp:revision>2</cp:revision>
  <cp:lastPrinted>2020-02-14T07:46:00Z</cp:lastPrinted>
  <dcterms:created xsi:type="dcterms:W3CDTF">2022-03-10T09:30:00Z</dcterms:created>
  <dcterms:modified xsi:type="dcterms:W3CDTF">2022-03-10T09:30:00Z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MINISTARSTVO PRAVOSUĐA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