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27" w:rsidRDefault="008D2827">
      <w:pPr>
        <w:spacing w:after="0"/>
      </w:pPr>
    </w:p>
    <w:p w:rsidR="008D2827" w:rsidRDefault="008D2827">
      <w:pPr>
        <w:spacing w:after="0"/>
      </w:pPr>
    </w:p>
    <w:p w:rsidR="008D2827" w:rsidRDefault="008D2827">
      <w:pPr>
        <w:spacing w:after="0"/>
      </w:pPr>
    </w:p>
    <w:p w:rsidR="008D2827" w:rsidRDefault="008D2827">
      <w:pPr>
        <w:spacing w:after="0"/>
      </w:pPr>
    </w:p>
    <w:p w:rsidR="008D2827" w:rsidRPr="003217C5" w:rsidRDefault="00F10F22">
      <w:pPr>
        <w:spacing w:after="0"/>
        <w:rPr>
          <w:lang w:val="de-DE"/>
        </w:rPr>
      </w:pPr>
      <w:r w:rsidRPr="003217C5">
        <w:rPr>
          <w:rFonts w:ascii="Times New Roman"/>
          <w:color w:val="000000"/>
          <w:lang w:val="de-DE"/>
        </w:rPr>
        <w:t>REPUBLIKA HRVATSKA</w:t>
      </w:r>
    </w:p>
    <w:p w:rsidR="008D2827" w:rsidRPr="003217C5" w:rsidRDefault="00F10F22">
      <w:pPr>
        <w:spacing w:after="0"/>
        <w:rPr>
          <w:lang w:val="de-DE"/>
        </w:rPr>
      </w:pPr>
      <w:r w:rsidRPr="003217C5">
        <w:rPr>
          <w:rFonts w:ascii="Times New Roman"/>
          <w:color w:val="000000"/>
          <w:lang w:val="de-DE"/>
        </w:rPr>
        <w:t>Op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>inski sud u Dubrovniku</w:t>
      </w:r>
    </w:p>
    <w:p w:rsidR="008D2827" w:rsidRDefault="00F10F22">
      <w:pPr>
        <w:spacing w:after="0"/>
      </w:pPr>
      <w:r>
        <w:rPr>
          <w:rFonts w:ascii="Times New Roman"/>
          <w:color w:val="000000"/>
        </w:rPr>
        <w:t>Dr. Ante Star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23</w:t>
      </w:r>
    </w:p>
    <w:p w:rsidR="008D2827" w:rsidRDefault="008D2827">
      <w:pPr>
        <w:spacing w:after="0"/>
      </w:pP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U IME REPUBLIKE HRVATSKE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P R E S U D A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Dubrovniku, po sucu tog suda Vlahu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u, kao sucu pojedincu, u pravnoj stvari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3217C5">
        <w:rPr>
          <w:rFonts w:ascii="Times New Roman"/>
          <w:color w:val="000000"/>
        </w:rPr>
        <w:t xml:space="preserve">V. F. </w:t>
      </w:r>
      <w:r>
        <w:rPr>
          <w:rFonts w:ascii="Times New Roman"/>
          <w:color w:val="000000"/>
        </w:rPr>
        <w:t xml:space="preserve">(OIB: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) iz </w:t>
      </w:r>
      <w:r w:rsidR="003217C5">
        <w:rPr>
          <w:rFonts w:ascii="Times New Roman"/>
          <w:color w:val="000000"/>
        </w:rPr>
        <w:t>L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, kojeg zastupa </w:t>
      </w:r>
      <w:r w:rsidR="003217C5">
        <w:rPr>
          <w:rFonts w:ascii="Times New Roman"/>
          <w:color w:val="000000"/>
        </w:rPr>
        <w:t>D. K.</w:t>
      </w:r>
      <w:r>
        <w:rPr>
          <w:rFonts w:ascii="Times New Roman"/>
          <w:color w:val="000000"/>
        </w:rPr>
        <w:t xml:space="preserve">, odvjetnik iz </w:t>
      </w:r>
      <w:r w:rsidR="003217C5">
        <w:rPr>
          <w:rFonts w:ascii="Times New Roman"/>
          <w:color w:val="000000"/>
        </w:rPr>
        <w:t>O.</w:t>
      </w:r>
      <w:r>
        <w:rPr>
          <w:rFonts w:ascii="Times New Roman"/>
          <w:color w:val="000000"/>
        </w:rPr>
        <w:t>,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</w:t>
      </w:r>
      <w:r w:rsidR="003217C5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v</w:t>
      </w:r>
      <w:r w:rsidR="003217C5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d.o.o. (OIB: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) iz </w:t>
      </w:r>
      <w:r w:rsidR="003217C5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,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tete, nakon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glavne i javne rasprave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ene d</w:t>
      </w:r>
      <w:r>
        <w:rPr>
          <w:rFonts w:ascii="Times New Roman"/>
          <w:color w:val="000000"/>
        </w:rPr>
        <w:t xml:space="preserve">ana </w:t>
      </w:r>
      <w:r>
        <w:rPr>
          <w:rFonts w:ascii="Times New Roman"/>
          <w:color w:val="000000"/>
        </w:rPr>
        <w:t xml:space="preserve">16.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 prisutnosti zamjenika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enika, dana 11.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je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I. Djelomi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se usvaja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koji glasi:</w:t>
      </w:r>
    </w:p>
    <w:p w:rsidR="008D2827" w:rsidRDefault="00F10F22">
      <w:pPr>
        <w:spacing w:after="0"/>
      </w:pPr>
      <w:proofErr w:type="gramStart"/>
      <w:r>
        <w:rPr>
          <w:rFonts w:ascii="Times New Roman"/>
          <w:color w:val="000000"/>
        </w:rPr>
        <w:t>"1.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 </w:t>
      </w:r>
      <w:r w:rsidR="003217C5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v</w:t>
      </w:r>
      <w:r w:rsidR="003217C5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d.o.o. iz </w:t>
      </w:r>
      <w:r w:rsidR="003217C5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je</w:t>
      </w:r>
      <w:r>
        <w:rPr>
          <w:rFonts w:ascii="Times New Roman"/>
          <w:color w:val="000000"/>
        </w:rPr>
        <w:t xml:space="preserve"> kao nakladnik tjednog lista.</w:t>
      </w:r>
      <w:proofErr w:type="gramEnd"/>
      <w:r>
        <w:rPr>
          <w:rFonts w:ascii="Times New Roman"/>
          <w:color w:val="000000"/>
        </w:rPr>
        <w:t xml:space="preserve"> </w:t>
      </w:r>
    </w:p>
    <w:p w:rsidR="008D2827" w:rsidRDefault="00F10F22">
      <w:pPr>
        <w:spacing w:after="0"/>
      </w:pPr>
      <w:r>
        <w:rPr>
          <w:rFonts w:ascii="Times New Roman"/>
          <w:color w:val="000000"/>
        </w:rPr>
        <w:t xml:space="preserve"> 2. </w:t>
      </w:r>
      <w:r w:rsidR="003217C5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v</w:t>
      </w:r>
      <w:r w:rsidR="003217C5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"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</w:t>
      </w:r>
      <w:r w:rsidR="003217C5">
        <w:rPr>
          <w:rFonts w:ascii="Times New Roman"/>
          <w:color w:val="000000"/>
        </w:rPr>
        <w:t xml:space="preserve">V. F.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</w:t>
      </w:r>
      <w:r w:rsidR="003217C5">
        <w:rPr>
          <w:rFonts w:ascii="Times New Roman"/>
          <w:color w:val="000000"/>
        </w:rPr>
        <w:t xml:space="preserve">L. </w:t>
      </w:r>
      <w:r>
        <w:rPr>
          <w:rFonts w:ascii="Times New Roman"/>
          <w:color w:val="000000"/>
        </w:rPr>
        <w:t xml:space="preserve">isplatiti na ime neimovinske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iznos od 20.000,00 kuna sa zakonskom zateznom kamatom prema eskontnoj stopi HNB-a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</w:t>
      </w:r>
      <w:r>
        <w:rPr>
          <w:rFonts w:ascii="Times New Roman"/>
          <w:color w:val="000000"/>
        </w:rPr>
        <w:t xml:space="preserve">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anoj za 5 % poena,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om od 31.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isplate".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II.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presudu nakon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objaviti na stranici broj 10, tjednog lista </w:t>
      </w:r>
      <w:r w:rsidR="003217C5">
        <w:rPr>
          <w:rFonts w:ascii="Times New Roman"/>
          <w:color w:val="000000"/>
        </w:rPr>
        <w:t>D. v</w:t>
      </w:r>
      <w:proofErr w:type="gramStart"/>
      <w:r w:rsidR="003217C5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 xml:space="preserve">III. U preostalom dijelu koji se </w:t>
      </w:r>
      <w:r>
        <w:rPr>
          <w:rFonts w:ascii="Times New Roman"/>
          <w:color w:val="000000"/>
        </w:rPr>
        <w:t xml:space="preserve">odnosi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iznos od 40.000,00 kuna sa zakonskom zateznom kamatom prema eskontnoj stopi HNB-a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anoj za 5 % poena,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om od 31.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isplate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</w:t>
      </w:r>
      <w:r>
        <w:rPr>
          <w:rFonts w:ascii="Times New Roman"/>
          <w:color w:val="000000"/>
        </w:rPr>
        <w:t>ev se odbija kao neosnovan.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IV. Svaka stranka snosi svoje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ovog postupka.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 xml:space="preserve">O b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r a z l 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 e n j e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ispravljenoj i dopunjenoj dana 11.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 godine navodi da je sin </w:t>
      </w:r>
      <w:r w:rsidR="003217C5">
        <w:rPr>
          <w:rFonts w:ascii="Times New Roman"/>
          <w:color w:val="000000"/>
        </w:rPr>
        <w:t xml:space="preserve">L. </w:t>
      </w:r>
      <w:r w:rsidR="003217C5">
        <w:rPr>
          <w:rFonts w:ascii="Times New Roman"/>
          <w:color w:val="000000"/>
        </w:rPr>
        <w:t>Š</w:t>
      </w:r>
      <w:r w:rsidR="003217C5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iteljice u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noj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koli na otoku </w:t>
      </w:r>
      <w:r w:rsidR="003217C5">
        <w:rPr>
          <w:rFonts w:ascii="Times New Roman"/>
          <w:color w:val="000000"/>
        </w:rPr>
        <w:t xml:space="preserve">L. </w:t>
      </w:r>
      <w:r>
        <w:rPr>
          <w:rFonts w:ascii="Times New Roman"/>
          <w:color w:val="000000"/>
        </w:rPr>
        <w:t xml:space="preserve">sa kojom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u zajedni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doma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instvu, da je u tjednom listu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od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u broju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na str. broj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objavljen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pod naslovom </w:t>
      </w:r>
      <w:r w:rsidR="003217C5">
        <w:rPr>
          <w:rFonts w:ascii="Times New Roman"/>
          <w:color w:val="000000"/>
        </w:rPr>
        <w:t xml:space="preserve">L. s. n. n. z. t. s. s. u. t. </w:t>
      </w:r>
      <w:r w:rsidR="003217C5">
        <w:rPr>
          <w:rFonts w:ascii="Times New Roman"/>
          <w:color w:val="000000"/>
        </w:rPr>
        <w:t>š</w:t>
      </w:r>
      <w:r w:rsidR="003217C5">
        <w:rPr>
          <w:rFonts w:ascii="Times New Roman"/>
          <w:color w:val="000000"/>
        </w:rPr>
        <w:t>. s.</w:t>
      </w:r>
      <w:r>
        <w:rPr>
          <w:rFonts w:ascii="Times New Roman"/>
          <w:color w:val="000000"/>
        </w:rPr>
        <w:t xml:space="preserve">, sa nad naslovom </w:t>
      </w:r>
      <w:r w:rsidR="003217C5">
        <w:rPr>
          <w:rFonts w:ascii="Times New Roman"/>
          <w:color w:val="000000"/>
        </w:rPr>
        <w:t xml:space="preserve">Z. s. l. u. </w:t>
      </w:r>
      <w:r w:rsidR="003217C5">
        <w:rPr>
          <w:rFonts w:ascii="Times New Roman"/>
          <w:color w:val="000000"/>
        </w:rPr>
        <w:t>ž</w:t>
      </w:r>
      <w:r w:rsidR="003217C5">
        <w:rPr>
          <w:rFonts w:ascii="Times New Roman"/>
          <w:color w:val="000000"/>
        </w:rPr>
        <w:t>. n. r. d. i pod naslovom K. Z.</w:t>
      </w:r>
      <w:r>
        <w:rPr>
          <w:rFonts w:ascii="Times New Roman"/>
          <w:color w:val="000000"/>
        </w:rPr>
        <w:t>, sagradila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u, dobila koncesiju na pla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 odmah po ulasku u </w:t>
      </w:r>
      <w:r w:rsidR="003217C5">
        <w:rPr>
          <w:rFonts w:ascii="Times New Roman"/>
          <w:color w:val="000000"/>
        </w:rPr>
        <w:t>L.</w:t>
      </w:r>
      <w:r>
        <w:rPr>
          <w:rFonts w:ascii="Times New Roman"/>
          <w:color w:val="000000"/>
        </w:rPr>
        <w:t xml:space="preserve">", da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 izdvojen poseban tekst u kojem se navodi " </w:t>
      </w:r>
      <w:r w:rsidR="003217C5"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iteljice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na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sramotno".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dalje navodi da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lastRenderedPageBreak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dostavio zahtjev za ispravak i odgovor na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nu informaciju, te zahtjev za ispravak,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oglu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io. Stoga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smatra da mu je objavom spornog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nanesena znatna nematerijalna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teta,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pravo osobnosti te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 i ugled pa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benom zahtjevu </w:t>
      </w:r>
      <w:proofErr w:type="gramStart"/>
      <w:r>
        <w:rPr>
          <w:rFonts w:ascii="Times New Roman"/>
          <w:color w:val="000000"/>
        </w:rPr>
        <w:t>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uje  naknadu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u iznosu od 60.000,00 kuna te objavu presude u tjedniku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svom odgovoru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od </w:t>
      </w:r>
      <w:r w:rsidR="003217C5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navodi da j predmetna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nepravovremena, da se u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ne spominje ime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enika, pa da nije niti aktivno legitimiran podnijeti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bu,  da zahtjev za ispravak nije podnesen od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tene osobe, odnosno da uz zahtjev  nije dostavljena</w:t>
      </w:r>
      <w:r>
        <w:rPr>
          <w:rFonts w:ascii="Times New Roman"/>
          <w:color w:val="000000"/>
        </w:rPr>
        <w:t xml:space="preserve">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za zastupanje, da dopis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koji se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ispravak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ajno i formalno ne predstavlja zahtjev za ispravak jer se u istom ne iznose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i okolnosti kojima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pobija ili dopunjuje navode objavljene u tekstu, niti je vidljivo koje </w:t>
      </w:r>
      <w:r>
        <w:rPr>
          <w:rFonts w:ascii="Times New Roman"/>
          <w:color w:val="000000"/>
        </w:rPr>
        <w:t>informacije ispravljaju, pa da se takav ispravak nije niti mogao objaviti. Dalje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navodi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io niti jedan dokaz na okolnost visine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koju je pretrpio, te da je informacija koju je objavio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odnosno da je autor teksta ima</w:t>
      </w:r>
      <w:r>
        <w:rPr>
          <w:rFonts w:ascii="Times New Roman"/>
          <w:color w:val="000000"/>
        </w:rPr>
        <w:t>o osnovani razlog povjerovati da su informacije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ne, te da je poduzeo sve mjere potrebne za provjeru njihove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nosti, te da je postojalo opravdano zanimanje javnosti za objavu informacije, pa da sukladno odredbama Zakona o medijima ne odgovara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tetu.</w:t>
      </w:r>
      <w:r>
        <w:rPr>
          <w:rFonts w:ascii="Times New Roman"/>
          <w:color w:val="000000"/>
        </w:rPr>
        <w:t xml:space="preserve"> 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sve navedeno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odbaciti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zahtjev, odnosno podredno isti odbiti.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Tijekom postupka pregledane su i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itane sve isprave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ene u spis,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i svjedoci </w:t>
      </w:r>
      <w:r w:rsidR="003217C5">
        <w:rPr>
          <w:rFonts w:ascii="Times New Roman"/>
          <w:color w:val="000000"/>
        </w:rPr>
        <w:t xml:space="preserve">L. P. </w:t>
      </w:r>
      <w:r>
        <w:rPr>
          <w:rFonts w:ascii="Times New Roman"/>
          <w:color w:val="000000"/>
        </w:rPr>
        <w:t xml:space="preserve">i </w:t>
      </w:r>
      <w:r w:rsidR="003217C5">
        <w:rPr>
          <w:rFonts w:ascii="Times New Roman"/>
          <w:color w:val="000000"/>
        </w:rPr>
        <w:t>I. G</w:t>
      </w:r>
      <w:proofErr w:type="gramStart"/>
      <w:r w:rsidR="003217C5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.</w:t>
      </w:r>
      <w:proofErr w:type="gramEnd"/>
    </w:p>
    <w:p w:rsidR="008D2827" w:rsidRDefault="008D2827">
      <w:pPr>
        <w:spacing w:after="0"/>
      </w:pPr>
    </w:p>
    <w:p w:rsidR="008D2827" w:rsidRDefault="00F10F22">
      <w:pPr>
        <w:spacing w:after="0"/>
      </w:pPr>
      <w:proofErr w:type="gramStart"/>
      <w:r>
        <w:rPr>
          <w:rFonts w:ascii="Times New Roman"/>
          <w:color w:val="000000"/>
        </w:rPr>
        <w:t>Na temelju ocjene svakog do</w:t>
      </w:r>
      <w:r>
        <w:rPr>
          <w:rFonts w:ascii="Times New Roman"/>
          <w:color w:val="000000"/>
        </w:rPr>
        <w:t xml:space="preserve">kaza zasebno i svih dokaza zajedno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8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postupku (NN 53/91, 91/91, 58/93, 122/99, 88/01, 117/03, 88/05, 02/07, 84/08, 123/08, 57/11, 148/11, u daljnjem tekstu: ZPP) te na temelju rezultata cjelokupnog postupka, sud je u</w:t>
      </w:r>
      <w:r>
        <w:rPr>
          <w:rFonts w:ascii="Times New Roman"/>
          <w:color w:val="000000"/>
        </w:rPr>
        <w:t xml:space="preserve">tvrdio da </w:t>
      </w:r>
      <w:proofErr w:type="gramStart"/>
      <w:r>
        <w:rPr>
          <w:rFonts w:ascii="Times New Roman"/>
          <w:color w:val="000000"/>
        </w:rPr>
        <w:t>je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</w:t>
      </w:r>
      <w:proofErr w:type="gramEnd"/>
      <w:r>
        <w:rPr>
          <w:rFonts w:ascii="Times New Roman"/>
          <w:color w:val="000000"/>
        </w:rPr>
        <w:t xml:space="preserve"> zahtjev djelomi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osnovan.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Prije svega sud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u ovom postupku </w:t>
      </w:r>
      <w:proofErr w:type="gramStart"/>
      <w:r>
        <w:rPr>
          <w:rFonts w:ascii="Times New Roman"/>
          <w:color w:val="000000"/>
        </w:rPr>
        <w:t>podnesena  dana</w:t>
      </w:r>
      <w:proofErr w:type="gramEnd"/>
      <w:r>
        <w:rPr>
          <w:rFonts w:ascii="Times New Roman"/>
          <w:color w:val="000000"/>
        </w:rPr>
        <w:t xml:space="preserve"> 17.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dok je sporni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objavljen 30.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odnosno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podnio u roku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enom o</w:t>
      </w:r>
      <w:r>
        <w:rPr>
          <w:rFonts w:ascii="Times New Roman"/>
          <w:color w:val="000000"/>
        </w:rPr>
        <w:t xml:space="preserve">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23. Zakona o medijima (NN 59/04, 84/11 i 81/13 u daljnjem tekstu ZM). Napominje se da je ovaj sud tijekom postupka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29.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pozvao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da uredi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itom oma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kom nije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avala jednu stran</w:t>
      </w:r>
      <w:r>
        <w:rPr>
          <w:rFonts w:ascii="Times New Roman"/>
          <w:color w:val="000000"/>
        </w:rPr>
        <w:t>icu, te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uredio u za to ostavljenom roku, koji primjerak je i dostavljen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uvidom u Zahtjev za ispravak i odgovor na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nu informaciju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(list spisa 7 i 8) sud je utvrdio da su u istom pori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 navodi izneseni u</w:t>
      </w:r>
      <w:r>
        <w:rPr>
          <w:rFonts w:ascii="Times New Roman"/>
          <w:color w:val="000000"/>
        </w:rPr>
        <w:t xml:space="preserve">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izno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injenica, te da se ne navode nikakvi osobni stavovi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itelja, pa da prije navedeni dopis formalno i </w:t>
      </w:r>
      <w:proofErr w:type="gramStart"/>
      <w:r>
        <w:rPr>
          <w:rFonts w:ascii="Times New Roman"/>
          <w:color w:val="000000"/>
        </w:rPr>
        <w:t>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ajno  predstavlja</w:t>
      </w:r>
      <w:proofErr w:type="gramEnd"/>
      <w:r>
        <w:rPr>
          <w:rFonts w:ascii="Times New Roman"/>
          <w:color w:val="000000"/>
        </w:rPr>
        <w:t xml:space="preserve"> odgovor na objavljenu informaciju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</w:t>
      </w:r>
      <w:proofErr w:type="gramStart"/>
      <w:r>
        <w:rPr>
          <w:rFonts w:ascii="Times New Roman"/>
          <w:color w:val="000000"/>
        </w:rPr>
        <w:t>56 st 3.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ZM.</w:t>
      </w:r>
      <w:proofErr w:type="gramEnd"/>
      <w:r>
        <w:rPr>
          <w:rFonts w:ascii="Times New Roman"/>
          <w:color w:val="000000"/>
        </w:rPr>
        <w:t xml:space="preserve"> 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proofErr w:type="gramStart"/>
      <w:r>
        <w:rPr>
          <w:rFonts w:ascii="Times New Roman"/>
          <w:color w:val="000000"/>
        </w:rPr>
        <w:t>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56. st. 1. ZM-a propi</w:t>
      </w:r>
      <w:r>
        <w:rPr>
          <w:rFonts w:ascii="Times New Roman"/>
          <w:color w:val="000000"/>
        </w:rPr>
        <w:t>sano je da zainteresirana fizi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ka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pravna osoba ima pravo podnijeti zahtjev glavnom uredniku da besplatno objavi njegov odgovor na objavljenu informaciju, u kojoj je spomenuto njezino ime, odnosno naziv ili je na neki drugi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s njom u izravnoj vezi.</w:t>
      </w:r>
      <w:r>
        <w:rPr>
          <w:rFonts w:ascii="Times New Roman"/>
          <w:color w:val="000000"/>
        </w:rPr>
        <w:t xml:space="preserve"> Kako se u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 navodi spominje sin </w:t>
      </w:r>
      <w:r w:rsidR="003217C5">
        <w:rPr>
          <w:rFonts w:ascii="Times New Roman"/>
          <w:color w:val="000000"/>
        </w:rPr>
        <w:t xml:space="preserve">L. </w:t>
      </w:r>
      <w:r w:rsidR="003217C5">
        <w:rPr>
          <w:rFonts w:ascii="Times New Roman"/>
          <w:color w:val="000000"/>
        </w:rPr>
        <w:t>Š</w:t>
      </w:r>
      <w:r w:rsidR="003217C5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te kako je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strankama nesporno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sin </w:t>
      </w:r>
      <w:r w:rsidR="003217C5">
        <w:rPr>
          <w:rFonts w:ascii="Times New Roman"/>
          <w:color w:val="000000"/>
        </w:rPr>
        <w:t xml:space="preserve">L. </w:t>
      </w:r>
      <w:r w:rsidR="003217C5">
        <w:rPr>
          <w:rFonts w:ascii="Times New Roman"/>
          <w:color w:val="000000"/>
        </w:rPr>
        <w:t>Š</w:t>
      </w:r>
      <w:r w:rsidR="003217C5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sud smatra da je time na drugi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sa doveden u vezu sa spornom informacijom, pa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i aktivno legitimiran po</w:t>
      </w:r>
      <w:r>
        <w:rPr>
          <w:rFonts w:ascii="Times New Roman"/>
          <w:color w:val="000000"/>
        </w:rPr>
        <w:t>dnijeti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u ovom postupku.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lastRenderedPageBreak/>
        <w:t xml:space="preserve">U svom iskazu svjedok </w:t>
      </w:r>
      <w:r w:rsidR="003217C5">
        <w:rPr>
          <w:rFonts w:ascii="Times New Roman"/>
          <w:color w:val="000000"/>
        </w:rPr>
        <w:t xml:space="preserve">L. P. </w:t>
      </w:r>
      <w:r>
        <w:rPr>
          <w:rFonts w:ascii="Times New Roman"/>
          <w:color w:val="000000"/>
        </w:rPr>
        <w:t>je izjavila da je autorica spornog teksta, da je sedam dana prije objavljivanja teksta 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la na </w:t>
      </w:r>
      <w:r w:rsidR="003217C5">
        <w:rPr>
          <w:rFonts w:ascii="Times New Roman"/>
          <w:color w:val="000000"/>
        </w:rPr>
        <w:t xml:space="preserve">L. </w:t>
      </w:r>
      <w:r>
        <w:rPr>
          <w:rFonts w:ascii="Times New Roman"/>
          <w:color w:val="000000"/>
        </w:rPr>
        <w:t>raditi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 o mjesnim problemima, da je razgovarala sa 4-5 ljudi koji su joj se po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alil</w:t>
      </w:r>
      <w:r>
        <w:rPr>
          <w:rFonts w:ascii="Times New Roman"/>
          <w:color w:val="000000"/>
        </w:rPr>
        <w:t>i kako se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iteljica </w:t>
      </w:r>
      <w:r w:rsidR="003217C5">
        <w:rPr>
          <w:rFonts w:ascii="Times New Roman"/>
          <w:color w:val="000000"/>
        </w:rPr>
        <w:t xml:space="preserve">L. </w:t>
      </w:r>
      <w:r w:rsidR="003217C5">
        <w:rPr>
          <w:rFonts w:ascii="Times New Roman"/>
          <w:color w:val="000000"/>
        </w:rPr>
        <w:t>Š</w:t>
      </w:r>
      <w:r w:rsidR="003217C5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preselila u novoizgra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enu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u, dok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kolskom stanu koji je do tada koristila kao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iteljica danas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 njen sin sa svojom obitelji. Dalje je navela da je radi ispitivanja istinitosti tih navoda razgovarala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predsjed</w:t>
      </w:r>
      <w:r>
        <w:rPr>
          <w:rFonts w:ascii="Times New Roman"/>
          <w:color w:val="000000"/>
        </w:rPr>
        <w:t xml:space="preserve">nikom mjesnog odbora </w:t>
      </w:r>
      <w:r w:rsidR="003217C5">
        <w:rPr>
          <w:rFonts w:ascii="Times New Roman"/>
          <w:color w:val="000000"/>
        </w:rPr>
        <w:t>I. G.</w:t>
      </w:r>
      <w:r>
        <w:rPr>
          <w:rFonts w:ascii="Times New Roman"/>
          <w:color w:val="000000"/>
        </w:rPr>
        <w:t>, koji je cijelu pri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 i potvrdio, te da je dva tri puta poku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ala telefonski kontaktirati majku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itelja, te da je njenom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aku ostavila i svoj kontakt sa porukom.</w:t>
      </w:r>
    </w:p>
    <w:p w:rsidR="008D2827" w:rsidRDefault="008D2827">
      <w:pPr>
        <w:spacing w:after="0"/>
      </w:pPr>
    </w:p>
    <w:p w:rsidR="008D2827" w:rsidRPr="003217C5" w:rsidRDefault="00F10F22">
      <w:pPr>
        <w:spacing w:after="0"/>
        <w:rPr>
          <w:lang w:val="de-DE"/>
        </w:rPr>
      </w:pPr>
      <w:proofErr w:type="gramStart"/>
      <w:r>
        <w:rPr>
          <w:rFonts w:ascii="Times New Roman"/>
          <w:color w:val="000000"/>
        </w:rPr>
        <w:t xml:space="preserve">U svom iskazu svjedok </w:t>
      </w:r>
      <w:r w:rsidR="003217C5">
        <w:rPr>
          <w:rFonts w:ascii="Times New Roman"/>
          <w:color w:val="000000"/>
        </w:rPr>
        <w:t xml:space="preserve">I. G. </w:t>
      </w:r>
      <w:r>
        <w:rPr>
          <w:rFonts w:ascii="Times New Roman"/>
          <w:color w:val="000000"/>
        </w:rPr>
        <w:t>izjavio je da ga je negd</w:t>
      </w:r>
      <w:r>
        <w:rPr>
          <w:rFonts w:ascii="Times New Roman"/>
          <w:color w:val="000000"/>
        </w:rPr>
        <w:t>je prije ljeta 2013.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kontaktirala novinarka </w:t>
      </w:r>
      <w:r w:rsidR="003217C5">
        <w:rPr>
          <w:rFonts w:ascii="Times New Roman"/>
          <w:color w:val="000000"/>
        </w:rPr>
        <w:t xml:space="preserve">L. P. </w:t>
      </w:r>
      <w:r>
        <w:rPr>
          <w:rFonts w:ascii="Times New Roman"/>
          <w:color w:val="000000"/>
        </w:rPr>
        <w:t xml:space="preserve">i interesirala se o stanu osnovne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kole na </w:t>
      </w:r>
      <w:r w:rsidR="003217C5">
        <w:rPr>
          <w:rFonts w:ascii="Times New Roman"/>
          <w:color w:val="000000"/>
        </w:rPr>
        <w:t>L.</w:t>
      </w:r>
      <w:r>
        <w:rPr>
          <w:rFonts w:ascii="Times New Roman"/>
          <w:color w:val="000000"/>
        </w:rPr>
        <w:t>, te da je nakon par dana i osobno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la na otok. Dalje je naveo da je sa novinarkom razgovarao u jednom kafi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u, da je novinarka snimala razgovo</w:t>
      </w:r>
      <w:r>
        <w:rPr>
          <w:rFonts w:ascii="Times New Roman"/>
          <w:color w:val="000000"/>
        </w:rPr>
        <w:t xml:space="preserve">r, da se interesirala tko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kolskim stanovima, te da joj je odgovorio da ne zna tko tu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ivi, dok su ljudi koji </w:t>
      </w:r>
      <w:proofErr w:type="gramStart"/>
      <w:r>
        <w:rPr>
          <w:rFonts w:ascii="Times New Roman"/>
          <w:color w:val="000000"/>
        </w:rPr>
        <w:t>su  bili</w:t>
      </w:r>
      <w:proofErr w:type="gramEnd"/>
      <w:r>
        <w:rPr>
          <w:rFonts w:ascii="Times New Roman"/>
          <w:color w:val="000000"/>
        </w:rPr>
        <w:t xml:space="preserve"> u kafi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eli dobacivati da u stanu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razna rodbina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 njegove majke, da je majka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izgradila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 i da bi s</w:t>
      </w:r>
      <w:r>
        <w:rPr>
          <w:rFonts w:ascii="Times New Roman"/>
          <w:color w:val="000000"/>
        </w:rPr>
        <w:t xml:space="preserve">e trebala iseliti iz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kolskog stana. </w:t>
      </w:r>
      <w:r w:rsidRPr="003217C5">
        <w:rPr>
          <w:rFonts w:ascii="Times New Roman"/>
          <w:color w:val="000000"/>
          <w:lang w:val="de-DE"/>
        </w:rPr>
        <w:t>Svjedok je tako</w:t>
      </w:r>
      <w:r w:rsidRPr="003217C5">
        <w:rPr>
          <w:rFonts w:ascii="Times New Roman"/>
          <w:color w:val="000000"/>
          <w:lang w:val="de-DE"/>
        </w:rPr>
        <w:t>đ</w:t>
      </w:r>
      <w:r w:rsidRPr="003217C5">
        <w:rPr>
          <w:rFonts w:ascii="Times New Roman"/>
          <w:color w:val="000000"/>
          <w:lang w:val="de-DE"/>
        </w:rPr>
        <w:t>er izjavio da ne zna da li je ku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 xml:space="preserve">a </w:t>
      </w:r>
      <w:r w:rsidR="003217C5" w:rsidRPr="003217C5">
        <w:rPr>
          <w:rFonts w:ascii="Times New Roman"/>
          <w:color w:val="000000"/>
          <w:lang w:val="de-DE"/>
        </w:rPr>
        <w:t xml:space="preserve">L. </w:t>
      </w:r>
      <w:r w:rsidR="003217C5" w:rsidRPr="003217C5">
        <w:rPr>
          <w:rFonts w:ascii="Times New Roman"/>
          <w:color w:val="000000"/>
          <w:lang w:val="de-DE"/>
        </w:rPr>
        <w:t>Š</w:t>
      </w:r>
      <w:r w:rsidR="003217C5" w:rsidRPr="003217C5">
        <w:rPr>
          <w:rFonts w:ascii="Times New Roman"/>
          <w:color w:val="000000"/>
          <w:lang w:val="de-DE"/>
        </w:rPr>
        <w:t xml:space="preserve">. </w:t>
      </w:r>
      <w:r w:rsidRPr="003217C5">
        <w:rPr>
          <w:rFonts w:ascii="Times New Roman"/>
          <w:color w:val="000000"/>
          <w:lang w:val="de-DE"/>
        </w:rPr>
        <w:t>bila useljiva u vrijeme kada je novinarka bila na otoku.</w:t>
      </w:r>
    </w:p>
    <w:p w:rsidR="008D2827" w:rsidRPr="003217C5" w:rsidRDefault="008D2827">
      <w:pPr>
        <w:spacing w:after="0"/>
        <w:rPr>
          <w:lang w:val="de-DE"/>
        </w:rPr>
      </w:pPr>
    </w:p>
    <w:p w:rsidR="008D2827" w:rsidRDefault="00F10F22">
      <w:pPr>
        <w:spacing w:after="0"/>
      </w:pPr>
      <w:r w:rsidRPr="003217C5">
        <w:rPr>
          <w:rFonts w:ascii="Times New Roman"/>
          <w:color w:val="000000"/>
          <w:lang w:val="de-DE"/>
        </w:rPr>
        <w:t>U svom iskazu tu</w:t>
      </w:r>
      <w:r w:rsidRPr="003217C5">
        <w:rPr>
          <w:rFonts w:ascii="Times New Roman"/>
          <w:color w:val="000000"/>
          <w:lang w:val="de-DE"/>
        </w:rPr>
        <w:t>ž</w:t>
      </w:r>
      <w:r w:rsidRPr="003217C5">
        <w:rPr>
          <w:rFonts w:ascii="Times New Roman"/>
          <w:color w:val="000000"/>
          <w:lang w:val="de-DE"/>
        </w:rPr>
        <w:t>itelj je naveo da se 1999 godine sa majkom i o</w:t>
      </w:r>
      <w:r w:rsidRPr="003217C5">
        <w:rPr>
          <w:rFonts w:ascii="Times New Roman"/>
          <w:color w:val="000000"/>
          <w:lang w:val="de-DE"/>
        </w:rPr>
        <w:t>č</w:t>
      </w:r>
      <w:r w:rsidRPr="003217C5">
        <w:rPr>
          <w:rFonts w:ascii="Times New Roman"/>
          <w:color w:val="000000"/>
          <w:lang w:val="de-DE"/>
        </w:rPr>
        <w:t xml:space="preserve">uhom doselio na otok </w:t>
      </w:r>
      <w:r w:rsidR="003217C5" w:rsidRPr="003217C5">
        <w:rPr>
          <w:rFonts w:ascii="Times New Roman"/>
          <w:color w:val="000000"/>
          <w:lang w:val="de-DE"/>
        </w:rPr>
        <w:t>L.</w:t>
      </w:r>
      <w:r w:rsidRPr="003217C5">
        <w:rPr>
          <w:rFonts w:ascii="Times New Roman"/>
          <w:color w:val="000000"/>
          <w:lang w:val="de-DE"/>
        </w:rPr>
        <w:t>, da</w:t>
      </w:r>
      <w:r w:rsidRPr="003217C5">
        <w:rPr>
          <w:rFonts w:ascii="Times New Roman"/>
          <w:color w:val="000000"/>
          <w:lang w:val="de-DE"/>
        </w:rPr>
        <w:t xml:space="preserve"> mu majka i danas radi kao nastavnica u osnovnoj </w:t>
      </w:r>
      <w:r w:rsidRPr="003217C5">
        <w:rPr>
          <w:rFonts w:ascii="Times New Roman"/>
          <w:color w:val="000000"/>
          <w:lang w:val="de-DE"/>
        </w:rPr>
        <w:t>š</w:t>
      </w:r>
      <w:r w:rsidRPr="003217C5">
        <w:rPr>
          <w:rFonts w:ascii="Times New Roman"/>
          <w:color w:val="000000"/>
          <w:lang w:val="de-DE"/>
        </w:rPr>
        <w:t xml:space="preserve">koli, da i danas </w:t>
      </w:r>
      <w:r w:rsidRPr="003217C5">
        <w:rPr>
          <w:rFonts w:ascii="Times New Roman"/>
          <w:color w:val="000000"/>
          <w:lang w:val="de-DE"/>
        </w:rPr>
        <w:t>ž</w:t>
      </w:r>
      <w:r w:rsidRPr="003217C5">
        <w:rPr>
          <w:rFonts w:ascii="Times New Roman"/>
          <w:color w:val="000000"/>
          <w:lang w:val="de-DE"/>
        </w:rPr>
        <w:t>ive u stanju koji je njegova majka dobila na kori</w:t>
      </w:r>
      <w:r w:rsidRPr="003217C5">
        <w:rPr>
          <w:rFonts w:ascii="Times New Roman"/>
          <w:color w:val="000000"/>
          <w:lang w:val="de-DE"/>
        </w:rPr>
        <w:t>š</w:t>
      </w:r>
      <w:r w:rsidRPr="003217C5">
        <w:rPr>
          <w:rFonts w:ascii="Times New Roman"/>
          <w:color w:val="000000"/>
          <w:lang w:val="de-DE"/>
        </w:rPr>
        <w:t xml:space="preserve">tenje kao nastavnica, da su prije </w:t>
      </w:r>
      <w:r w:rsidRPr="003217C5">
        <w:rPr>
          <w:rFonts w:ascii="Times New Roman"/>
          <w:color w:val="000000"/>
          <w:lang w:val="de-DE"/>
        </w:rPr>
        <w:t>č</w:t>
      </w:r>
      <w:r w:rsidRPr="003217C5">
        <w:rPr>
          <w:rFonts w:ascii="Times New Roman"/>
          <w:color w:val="000000"/>
          <w:lang w:val="de-DE"/>
        </w:rPr>
        <w:t>etiri godine po</w:t>
      </w:r>
      <w:r w:rsidRPr="003217C5">
        <w:rPr>
          <w:rFonts w:ascii="Times New Roman"/>
          <w:color w:val="000000"/>
          <w:lang w:val="de-DE"/>
        </w:rPr>
        <w:t>č</w:t>
      </w:r>
      <w:r w:rsidRPr="003217C5">
        <w:rPr>
          <w:rFonts w:ascii="Times New Roman"/>
          <w:color w:val="000000"/>
          <w:lang w:val="de-DE"/>
        </w:rPr>
        <w:t>eli graditi ku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>u koja jo</w:t>
      </w:r>
      <w:r w:rsidRPr="003217C5">
        <w:rPr>
          <w:rFonts w:ascii="Times New Roman"/>
          <w:color w:val="000000"/>
          <w:lang w:val="de-DE"/>
        </w:rPr>
        <w:t>š</w:t>
      </w:r>
      <w:r w:rsidRPr="003217C5">
        <w:rPr>
          <w:rFonts w:ascii="Times New Roman"/>
          <w:color w:val="000000"/>
          <w:lang w:val="de-DE"/>
        </w:rPr>
        <w:t xml:space="preserve"> uvijek nije zavr</w:t>
      </w:r>
      <w:r w:rsidRPr="003217C5">
        <w:rPr>
          <w:rFonts w:ascii="Times New Roman"/>
          <w:color w:val="000000"/>
          <w:lang w:val="de-DE"/>
        </w:rPr>
        <w:t>š</w:t>
      </w:r>
      <w:r w:rsidRPr="003217C5">
        <w:rPr>
          <w:rFonts w:ascii="Times New Roman"/>
          <w:color w:val="000000"/>
          <w:lang w:val="de-DE"/>
        </w:rPr>
        <w:t xml:space="preserve">ena, da trenutno u stanju </w:t>
      </w:r>
      <w:r w:rsidRPr="003217C5">
        <w:rPr>
          <w:rFonts w:ascii="Times New Roman"/>
          <w:color w:val="000000"/>
          <w:lang w:val="de-DE"/>
        </w:rPr>
        <w:t>ž</w:t>
      </w:r>
      <w:r w:rsidRPr="003217C5">
        <w:rPr>
          <w:rFonts w:ascii="Times New Roman"/>
          <w:color w:val="000000"/>
          <w:lang w:val="de-DE"/>
        </w:rPr>
        <w:t>ivi sa majkom o</w:t>
      </w:r>
      <w:r w:rsidRPr="003217C5">
        <w:rPr>
          <w:rFonts w:ascii="Times New Roman"/>
          <w:color w:val="000000"/>
          <w:lang w:val="de-DE"/>
        </w:rPr>
        <w:t>č</w:t>
      </w:r>
      <w:r w:rsidRPr="003217C5">
        <w:rPr>
          <w:rFonts w:ascii="Times New Roman"/>
          <w:color w:val="000000"/>
          <w:lang w:val="de-DE"/>
        </w:rPr>
        <w:t>u</w:t>
      </w:r>
      <w:r w:rsidRPr="003217C5">
        <w:rPr>
          <w:rFonts w:ascii="Times New Roman"/>
          <w:color w:val="000000"/>
          <w:lang w:val="de-DE"/>
        </w:rPr>
        <w:t>hom, suprugom i dvoje malodobne djece, da kod njih povremeno boravi i njegov ro</w:t>
      </w:r>
      <w:r w:rsidRPr="003217C5">
        <w:rPr>
          <w:rFonts w:ascii="Times New Roman"/>
          <w:color w:val="000000"/>
          <w:lang w:val="de-DE"/>
        </w:rPr>
        <w:t>đ</w:t>
      </w:r>
      <w:r w:rsidRPr="003217C5">
        <w:rPr>
          <w:rFonts w:ascii="Times New Roman"/>
          <w:color w:val="000000"/>
          <w:lang w:val="de-DE"/>
        </w:rPr>
        <w:t xml:space="preserve">ak koji studira u </w:t>
      </w:r>
      <w:r w:rsidR="003217C5">
        <w:rPr>
          <w:rFonts w:ascii="Times New Roman"/>
          <w:color w:val="000000"/>
          <w:lang w:val="de-DE"/>
        </w:rPr>
        <w:t>D.</w:t>
      </w:r>
      <w:r w:rsidRPr="003217C5">
        <w:rPr>
          <w:rFonts w:ascii="Times New Roman"/>
          <w:color w:val="000000"/>
          <w:lang w:val="de-DE"/>
        </w:rPr>
        <w:t>, te da ljeti boravi kod njih budu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>i im poma</w:t>
      </w:r>
      <w:r w:rsidRPr="003217C5">
        <w:rPr>
          <w:rFonts w:ascii="Times New Roman"/>
          <w:color w:val="000000"/>
          <w:lang w:val="de-DE"/>
        </w:rPr>
        <w:t>ž</w:t>
      </w:r>
      <w:r w:rsidRPr="003217C5">
        <w:rPr>
          <w:rFonts w:ascii="Times New Roman"/>
          <w:color w:val="000000"/>
          <w:lang w:val="de-DE"/>
        </w:rPr>
        <w:t>e oko izgradnje ku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>e i posla na pla</w:t>
      </w:r>
      <w:r w:rsidRPr="003217C5">
        <w:rPr>
          <w:rFonts w:ascii="Times New Roman"/>
          <w:color w:val="000000"/>
          <w:lang w:val="de-DE"/>
        </w:rPr>
        <w:t>ž</w:t>
      </w:r>
      <w:r w:rsidRPr="003217C5">
        <w:rPr>
          <w:rFonts w:ascii="Times New Roman"/>
          <w:color w:val="000000"/>
          <w:lang w:val="de-DE"/>
        </w:rPr>
        <w:t>i, da se ro</w:t>
      </w:r>
      <w:r w:rsidRPr="003217C5">
        <w:rPr>
          <w:rFonts w:ascii="Times New Roman"/>
          <w:color w:val="000000"/>
          <w:lang w:val="de-DE"/>
        </w:rPr>
        <w:t>đ</w:t>
      </w:r>
      <w:r w:rsidRPr="003217C5">
        <w:rPr>
          <w:rFonts w:ascii="Times New Roman"/>
          <w:color w:val="000000"/>
          <w:lang w:val="de-DE"/>
        </w:rPr>
        <w:t xml:space="preserve">ak javio na telefon kada je zvala novinarka </w:t>
      </w:r>
      <w:r w:rsidR="003217C5">
        <w:rPr>
          <w:rFonts w:ascii="Times New Roman"/>
          <w:color w:val="000000"/>
          <w:lang w:val="de-DE"/>
        </w:rPr>
        <w:t xml:space="preserve">L. P. </w:t>
      </w:r>
      <w:r w:rsidRPr="003217C5">
        <w:rPr>
          <w:rFonts w:ascii="Times New Roman"/>
          <w:color w:val="000000"/>
          <w:lang w:val="de-DE"/>
        </w:rPr>
        <w:t>i tra</w:t>
      </w:r>
      <w:r w:rsidRPr="003217C5">
        <w:rPr>
          <w:rFonts w:ascii="Times New Roman"/>
          <w:color w:val="000000"/>
          <w:lang w:val="de-DE"/>
        </w:rPr>
        <w:t>ž</w:t>
      </w:r>
      <w:r w:rsidRPr="003217C5">
        <w:rPr>
          <w:rFonts w:ascii="Times New Roman"/>
          <w:color w:val="000000"/>
          <w:lang w:val="de-DE"/>
        </w:rPr>
        <w:t>ila njegovu majku, dok njega uop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>e nije kontaktirala, ali da ne zna da li je novinarka ostavila kakvu poruku ili kontakt, da se u obiteljskoj ku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>i koju grade mo</w:t>
      </w:r>
      <w:r w:rsidRPr="003217C5">
        <w:rPr>
          <w:rFonts w:ascii="Times New Roman"/>
          <w:color w:val="000000"/>
          <w:lang w:val="de-DE"/>
        </w:rPr>
        <w:t>ž</w:t>
      </w:r>
      <w:r w:rsidRPr="003217C5">
        <w:rPr>
          <w:rFonts w:ascii="Times New Roman"/>
          <w:color w:val="000000"/>
          <w:lang w:val="de-DE"/>
        </w:rPr>
        <w:t>e prespavati, me</w:t>
      </w:r>
      <w:r w:rsidRPr="003217C5">
        <w:rPr>
          <w:rFonts w:ascii="Times New Roman"/>
          <w:color w:val="000000"/>
          <w:lang w:val="de-DE"/>
        </w:rPr>
        <w:t>đ</w:t>
      </w:r>
      <w:r w:rsidRPr="003217C5">
        <w:rPr>
          <w:rFonts w:ascii="Times New Roman"/>
          <w:color w:val="000000"/>
          <w:lang w:val="de-DE"/>
        </w:rPr>
        <w:t>utim da jo</w:t>
      </w:r>
      <w:r w:rsidRPr="003217C5">
        <w:rPr>
          <w:rFonts w:ascii="Times New Roman"/>
          <w:color w:val="000000"/>
          <w:lang w:val="de-DE"/>
        </w:rPr>
        <w:t>š</w:t>
      </w:r>
      <w:r w:rsidRPr="003217C5">
        <w:rPr>
          <w:rFonts w:ascii="Times New Roman"/>
          <w:color w:val="000000"/>
          <w:lang w:val="de-DE"/>
        </w:rPr>
        <w:t xml:space="preserve"> uvijek nije spojena elektri</w:t>
      </w:r>
      <w:r w:rsidRPr="003217C5">
        <w:rPr>
          <w:rFonts w:ascii="Times New Roman"/>
          <w:color w:val="000000"/>
          <w:lang w:val="de-DE"/>
        </w:rPr>
        <w:t>č</w:t>
      </w:r>
      <w:r w:rsidRPr="003217C5">
        <w:rPr>
          <w:rFonts w:ascii="Times New Roman"/>
          <w:color w:val="000000"/>
          <w:lang w:val="de-DE"/>
        </w:rPr>
        <w:t>na energija, da je majka zimu p</w:t>
      </w:r>
      <w:r w:rsidRPr="003217C5">
        <w:rPr>
          <w:rFonts w:ascii="Times New Roman"/>
          <w:color w:val="000000"/>
          <w:lang w:val="de-DE"/>
        </w:rPr>
        <w:t xml:space="preserve">rije objave </w:t>
      </w:r>
      <w:r w:rsidRPr="003217C5">
        <w:rPr>
          <w:rFonts w:ascii="Times New Roman"/>
          <w:color w:val="000000"/>
          <w:lang w:val="de-DE"/>
        </w:rPr>
        <w:t>č</w:t>
      </w:r>
      <w:r w:rsidRPr="003217C5">
        <w:rPr>
          <w:rFonts w:ascii="Times New Roman"/>
          <w:color w:val="000000"/>
          <w:lang w:val="de-DE"/>
        </w:rPr>
        <w:t>lanka privremeno preselila u ku</w:t>
      </w:r>
      <w:r w:rsidRPr="003217C5">
        <w:rPr>
          <w:rFonts w:ascii="Times New Roman"/>
          <w:color w:val="000000"/>
          <w:lang w:val="de-DE"/>
        </w:rPr>
        <w:t>ć</w:t>
      </w:r>
      <w:r w:rsidRPr="003217C5">
        <w:rPr>
          <w:rFonts w:ascii="Times New Roman"/>
          <w:color w:val="000000"/>
          <w:lang w:val="de-DE"/>
        </w:rPr>
        <w:t>u kako bi izbjegli kra</w:t>
      </w:r>
      <w:r w:rsidRPr="003217C5">
        <w:rPr>
          <w:rFonts w:ascii="Times New Roman"/>
          <w:color w:val="000000"/>
          <w:lang w:val="de-DE"/>
        </w:rPr>
        <w:t>đ</w:t>
      </w:r>
      <w:r w:rsidRPr="003217C5">
        <w:rPr>
          <w:rFonts w:ascii="Times New Roman"/>
          <w:color w:val="000000"/>
          <w:lang w:val="de-DE"/>
        </w:rPr>
        <w:t>u gra</w:t>
      </w:r>
      <w:r w:rsidRPr="003217C5">
        <w:rPr>
          <w:rFonts w:ascii="Times New Roman"/>
          <w:color w:val="000000"/>
          <w:lang w:val="de-DE"/>
        </w:rPr>
        <w:t>đ</w:t>
      </w:r>
      <w:r w:rsidRPr="003217C5">
        <w:rPr>
          <w:rFonts w:ascii="Times New Roman"/>
          <w:color w:val="000000"/>
          <w:lang w:val="de-DE"/>
        </w:rPr>
        <w:t xml:space="preserve">evinskog materijala. </w:t>
      </w:r>
      <w:r>
        <w:rPr>
          <w:rFonts w:ascii="Times New Roman"/>
          <w:color w:val="000000"/>
        </w:rPr>
        <w:t>Dalje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naveo da se zbog spornog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ao vrlo neugodno, da </w:t>
      </w:r>
      <w:proofErr w:type="gramStart"/>
      <w:r>
        <w:rPr>
          <w:rFonts w:ascii="Times New Roman"/>
          <w:color w:val="000000"/>
        </w:rPr>
        <w:t>se 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ao</w:t>
      </w:r>
      <w:proofErr w:type="gramEnd"/>
      <w:r>
        <w:rPr>
          <w:rFonts w:ascii="Times New Roman"/>
          <w:color w:val="000000"/>
        </w:rPr>
        <w:t xml:space="preserve"> da radi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nezakonito, da je bio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javnom lin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u, te da mu je sup</w:t>
      </w:r>
      <w:r>
        <w:rPr>
          <w:rFonts w:ascii="Times New Roman"/>
          <w:color w:val="000000"/>
        </w:rPr>
        <w:t>ruga u to vrijeme bila u visokom stupnju trudno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Analiziraju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prije navede iskaze,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sporni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sud je utvrdio da novinarka </w:t>
      </w:r>
      <w:r w:rsidR="003217C5">
        <w:rPr>
          <w:rFonts w:ascii="Times New Roman"/>
          <w:color w:val="000000"/>
        </w:rPr>
        <w:t xml:space="preserve">L. P. </w:t>
      </w:r>
      <w:r>
        <w:rPr>
          <w:rFonts w:ascii="Times New Roman"/>
          <w:color w:val="000000"/>
        </w:rPr>
        <w:t xml:space="preserve">tijekom njenog boravka na otoku </w:t>
      </w:r>
      <w:r w:rsidR="003217C5">
        <w:rPr>
          <w:rFonts w:ascii="Times New Roman"/>
          <w:color w:val="000000"/>
        </w:rPr>
        <w:t xml:space="preserve">L. </w:t>
      </w:r>
      <w:r>
        <w:rPr>
          <w:rFonts w:ascii="Times New Roman"/>
          <w:color w:val="000000"/>
        </w:rPr>
        <w:t>nije osobno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i njegovu majku u stanu u kojem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ive kak</w:t>
      </w:r>
      <w:r>
        <w:rPr>
          <w:rFonts w:ascii="Times New Roman"/>
          <w:color w:val="000000"/>
        </w:rPr>
        <w:t xml:space="preserve">o bi provjerila istinitost navoda,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prema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ovog suda morala napraviti,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samo radi zadovoljavanja forme naknadno telefonski poku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ala stupiti s njom u kontakt.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iz iskaza </w:t>
      </w:r>
      <w:r w:rsidR="003217C5">
        <w:rPr>
          <w:rFonts w:ascii="Times New Roman"/>
          <w:color w:val="000000"/>
        </w:rPr>
        <w:t xml:space="preserve">L. P. </w:t>
      </w:r>
      <w:r>
        <w:rPr>
          <w:rFonts w:ascii="Times New Roman"/>
          <w:color w:val="000000"/>
        </w:rPr>
        <w:t xml:space="preserve">i </w:t>
      </w:r>
      <w:r w:rsidR="003217C5">
        <w:rPr>
          <w:rFonts w:ascii="Times New Roman"/>
          <w:color w:val="000000"/>
        </w:rPr>
        <w:t xml:space="preserve">I. G. </w:t>
      </w:r>
      <w:r>
        <w:rPr>
          <w:rFonts w:ascii="Times New Roman"/>
          <w:color w:val="000000"/>
        </w:rPr>
        <w:t>sud je utvrdio da  je 4-5 osoba</w:t>
      </w:r>
      <w:r>
        <w:rPr>
          <w:rFonts w:ascii="Times New Roman"/>
          <w:color w:val="000000"/>
        </w:rPr>
        <w:t xml:space="preserve"> od kojih je novinarka provjerila istinitost navoda iznesenih u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predstavljaju osobe u kafi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 koje je ona nasumce snimala kako dobacuju dok je uzimala izjavu svjedoka </w:t>
      </w:r>
      <w:r w:rsidR="003217C5">
        <w:rPr>
          <w:rFonts w:ascii="Times New Roman"/>
          <w:color w:val="000000"/>
        </w:rPr>
        <w:t>I. G.</w:t>
      </w:r>
      <w:r>
        <w:rPr>
          <w:rFonts w:ascii="Times New Roman"/>
          <w:color w:val="000000"/>
        </w:rPr>
        <w:t xml:space="preserve">. Da je tome tako proizlazi i iz same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da novinarka u sv</w:t>
      </w:r>
      <w:r>
        <w:rPr>
          <w:rFonts w:ascii="Times New Roman"/>
          <w:color w:val="000000"/>
        </w:rPr>
        <w:t>om iskazu nije navela imena tih osoba, navode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otkriti njihov identitet, dok je identitet svjedoka </w:t>
      </w:r>
      <w:r w:rsidR="003217C5">
        <w:rPr>
          <w:rFonts w:ascii="Times New Roman"/>
          <w:color w:val="000000"/>
        </w:rPr>
        <w:t>I. G.</w:t>
      </w:r>
      <w:r>
        <w:rPr>
          <w:rFonts w:ascii="Times New Roman"/>
          <w:color w:val="000000"/>
        </w:rPr>
        <w:t xml:space="preserve">, koji se osim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trenutno predsjednik mjesnog odbora, ni po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emu ne razlikuje od ostalih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tana, novinarka otkrila u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</w:t>
      </w:r>
      <w:r>
        <w:rPr>
          <w:rFonts w:ascii="Times New Roman"/>
          <w:color w:val="000000"/>
        </w:rPr>
        <w:t>nku i u svom iskazu.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 xml:space="preserve">Svakako sud je poklonio vjeru svjedoku </w:t>
      </w:r>
      <w:r w:rsidR="003217C5">
        <w:rPr>
          <w:rFonts w:ascii="Times New Roman"/>
          <w:color w:val="000000"/>
        </w:rPr>
        <w:t xml:space="preserve">I. G. </w:t>
      </w:r>
      <w:r>
        <w:rPr>
          <w:rFonts w:ascii="Times New Roman"/>
          <w:color w:val="000000"/>
        </w:rPr>
        <w:t xml:space="preserve">kada navodi da je novinarki rekao da ne zna tko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ivi u spornom stanu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njegov iskaz smatra vjerodostojnim,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ivotnim i logi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nim, te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svjedok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ija se navodna izjava spominje u</w:t>
      </w:r>
      <w:r>
        <w:rPr>
          <w:rFonts w:ascii="Times New Roman"/>
          <w:color w:val="000000"/>
        </w:rPr>
        <w:t xml:space="preserve">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nema razloga 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 iskazivati pa mu vjeruje i u dijelu iskaza u kojem navodi da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tvu obitelji </w:t>
      </w:r>
      <w:r w:rsidR="003217C5">
        <w:rPr>
          <w:rFonts w:ascii="Times New Roman"/>
          <w:color w:val="000000"/>
        </w:rPr>
        <w:t>Š</w:t>
      </w:r>
      <w:r w:rsidR="003217C5"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nije bila useljiva u vrijeme sastavljanja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Obzirom na sve navedeno sud je utvrdio da autorica teksta nije p</w:t>
      </w:r>
      <w:r>
        <w:rPr>
          <w:rFonts w:ascii="Times New Roman"/>
          <w:color w:val="000000"/>
        </w:rPr>
        <w:t>oduzela sve mjere kako bi utvrdila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informacije, pa nije mogla niti povjerovati da je informacija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na, odnosno utvrdio je da informacija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ivi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kolskom stanu unato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da njegova obitelj ima useljivu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 nije niti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na, pa ni</w:t>
      </w:r>
      <w:r>
        <w:rPr>
          <w:rFonts w:ascii="Times New Roman"/>
          <w:color w:val="000000"/>
        </w:rPr>
        <w:t xml:space="preserve">je ispunjen uvjet propisan 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</w:t>
      </w:r>
      <w:proofErr w:type="gramStart"/>
      <w:r>
        <w:rPr>
          <w:rFonts w:ascii="Times New Roman"/>
          <w:color w:val="000000"/>
        </w:rPr>
        <w:t>21 st. 4.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ZM-a prema kojem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kao nakladnik ne odgovara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enu objavom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lanka.</w:t>
      </w:r>
      <w:proofErr w:type="gramEnd"/>
    </w:p>
    <w:p w:rsidR="008D2827" w:rsidRDefault="008D2827">
      <w:pPr>
        <w:spacing w:after="0"/>
      </w:pPr>
    </w:p>
    <w:p w:rsidR="008D2827" w:rsidRDefault="00F10F22">
      <w:pPr>
        <w:spacing w:after="0"/>
      </w:pPr>
      <w:proofErr w:type="gramStart"/>
      <w:r>
        <w:rPr>
          <w:rFonts w:ascii="Times New Roman"/>
          <w:color w:val="000000"/>
        </w:rPr>
        <w:t xml:space="preserve">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21 ZM-a propisano je </w:t>
      </w:r>
      <w:proofErr w:type="gramStart"/>
      <w:r>
        <w:rPr>
          <w:rFonts w:ascii="Times New Roman"/>
          <w:color w:val="000000"/>
        </w:rPr>
        <w:t>da  nakladnik</w:t>
      </w:r>
      <w:proofErr w:type="gramEnd"/>
      <w:r>
        <w:rPr>
          <w:rFonts w:ascii="Times New Roman"/>
          <w:color w:val="000000"/>
        </w:rPr>
        <w:t xml:space="preserve"> koji informacijom objavljenom u mediju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drugome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 </w:t>
      </w:r>
      <w:r>
        <w:rPr>
          <w:rFonts w:ascii="Times New Roman"/>
          <w:color w:val="000000"/>
        </w:rPr>
        <w:t>ju je naknaditi, izuzev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ajevima propisanim st. 4 istog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ZM-a, da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je umanjenje ne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ije imovine ili sprje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avanje njezina pove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anja (materijalna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teta) i nano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drugom fizi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ili psihi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bola ili straha (nematerijalna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teta), te da se </w:t>
      </w:r>
      <w:r>
        <w:rPr>
          <w:rFonts w:ascii="Times New Roman"/>
          <w:color w:val="000000"/>
        </w:rPr>
        <w:t>na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ivanje odgovornosti za naknadu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primjenjuju se propisi o obveznim odnosima, osim ako ovim Zakonom nije druga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Iz iskaza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proizlazi da zbog spornog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nije trpio nikakvu materijalnu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tetu, dok se nematerijalna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s</w:t>
      </w:r>
      <w:r>
        <w:rPr>
          <w:rFonts w:ascii="Times New Roman"/>
          <w:color w:val="000000"/>
        </w:rPr>
        <w:t>astoji u nelagodi koju je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ao nakon objavljenog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osje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 da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nezakonito,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enosti javnom lin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u. Obzirom na sve navedeno</w:t>
      </w:r>
      <w:proofErr w:type="gramStart"/>
      <w:r>
        <w:rPr>
          <w:rFonts w:ascii="Times New Roman"/>
          <w:color w:val="000000"/>
        </w:rPr>
        <w:t>,  ovaj</w:t>
      </w:r>
      <w:proofErr w:type="gramEnd"/>
      <w:r>
        <w:rPr>
          <w:rFonts w:ascii="Times New Roman"/>
          <w:color w:val="000000"/>
        </w:rPr>
        <w:t xml:space="preserve"> sud smatra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postavljen suvi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visoko, odnosno da se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koju j</w:t>
      </w:r>
      <w:r>
        <w:rPr>
          <w:rFonts w:ascii="Times New Roman"/>
          <w:color w:val="000000"/>
        </w:rPr>
        <w:t>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pretrpio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djelomi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popraviti objavom ove presude u tjedniku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na jednak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kako je objavljena i sporna informacija, odnosno da ostatak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tete, koji prema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ovog suda ne bi niti nastala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samovoljno objavio ispra</w:t>
      </w:r>
      <w:r>
        <w:rPr>
          <w:rFonts w:ascii="Times New Roman"/>
          <w:color w:val="000000"/>
        </w:rPr>
        <w:t>vak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enika, sud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po slobodnoj ocijeni procjenjuje u iznosu od 20.000,00 kuna.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 xml:space="preserve">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sve navedeno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je kao u izreci ove presude.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Odluka 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kovima temelji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154. st. 2 ZPP. </w:t>
      </w:r>
      <w:proofErr w:type="gramStart"/>
      <w:r>
        <w:rPr>
          <w:rFonts w:ascii="Times New Roman"/>
          <w:color w:val="000000"/>
        </w:rPr>
        <w:t xml:space="preserve">Bez obzira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odbijen u </w:t>
      </w:r>
      <w:r>
        <w:rPr>
          <w:rFonts w:ascii="Times New Roman"/>
          <w:color w:val="000000"/>
        </w:rPr>
        <w:t>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dijela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I.</w:t>
      </w:r>
      <w:proofErr w:type="gramEnd"/>
      <w:r>
        <w:rPr>
          <w:rFonts w:ascii="Times New Roman"/>
          <w:color w:val="000000"/>
        </w:rPr>
        <w:t xml:space="preserve"> 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benog</w:t>
      </w:r>
      <w:proofErr w:type="gramEnd"/>
      <w:r>
        <w:rPr>
          <w:rFonts w:ascii="Times New Roman"/>
          <w:color w:val="000000"/>
        </w:rPr>
        <w:t xml:space="preserve"> zahtjeva koji se odnosio na naknadu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tete,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je usvojen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ka II. 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</w:t>
      </w:r>
      <w:proofErr w:type="gramEnd"/>
      <w:r>
        <w:rPr>
          <w:rFonts w:ascii="Times New Roman"/>
          <w:color w:val="000000"/>
        </w:rPr>
        <w:t xml:space="preserve"> zahtjev usvojena u cjelini, ovaj sud smatra da su stranke jednako uspjele u ovoj parnici, pa da je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kao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IV. </w:t>
      </w:r>
      <w:proofErr w:type="gramStart"/>
      <w:r>
        <w:rPr>
          <w:rFonts w:ascii="Times New Roman"/>
          <w:color w:val="000000"/>
        </w:rPr>
        <w:t>ove</w:t>
      </w:r>
      <w:proofErr w:type="gramEnd"/>
      <w:r>
        <w:rPr>
          <w:rFonts w:ascii="Times New Roman"/>
          <w:color w:val="000000"/>
        </w:rPr>
        <w:t xml:space="preserve"> presude.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proofErr w:type="gramStart"/>
      <w:r>
        <w:rPr>
          <w:rFonts w:ascii="Times New Roman"/>
          <w:color w:val="000000"/>
        </w:rPr>
        <w:t xml:space="preserve">U </w:t>
      </w:r>
      <w:r>
        <w:rPr>
          <w:rFonts w:ascii="Times New Roman"/>
          <w:color w:val="000000"/>
        </w:rPr>
        <w:t>Dub</w:t>
      </w:r>
      <w:r>
        <w:rPr>
          <w:rFonts w:ascii="Times New Roman"/>
          <w:color w:val="000000"/>
        </w:rPr>
        <w:t xml:space="preserve">rovniku </w:t>
      </w:r>
      <w:r>
        <w:rPr>
          <w:rFonts w:ascii="Times New Roman"/>
          <w:color w:val="000000"/>
        </w:rPr>
        <w:t>11.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2014.</w:t>
      </w:r>
    </w:p>
    <w:p w:rsidR="008D2827" w:rsidRDefault="008D2827">
      <w:pPr>
        <w:spacing w:after="0"/>
      </w:pP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Sudac:</w:t>
      </w: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Vlaho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r>
        <w:rPr>
          <w:rFonts w:ascii="Times New Roman"/>
          <w:color w:val="000000"/>
        </w:rPr>
        <w:t>ć</w:t>
      </w:r>
    </w:p>
    <w:p w:rsidR="008D2827" w:rsidRDefault="008D2827">
      <w:pPr>
        <w:spacing w:after="0"/>
      </w:pPr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UPUTA O PRAVNOM LIJEKU:</w:t>
      </w:r>
    </w:p>
    <w:p w:rsidR="008D2827" w:rsidRDefault="00F10F22">
      <w:pPr>
        <w:spacing w:after="0"/>
      </w:pPr>
      <w:r>
        <w:rPr>
          <w:rFonts w:ascii="Times New Roman"/>
          <w:color w:val="000000"/>
        </w:rPr>
        <w:t>Protiv ove presude 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osam dana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467. st. 3 ZPP-a)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dana dostave ove presude. </w:t>
      </w:r>
      <w:proofErr w:type="gram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u tri istovjetna primjerka putem ovog suda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</w:t>
      </w:r>
      <w:r>
        <w:rPr>
          <w:rFonts w:ascii="Times New Roman"/>
          <w:color w:val="000000"/>
        </w:rPr>
        <w:t>kom sudu u Dubrovniku.</w:t>
      </w:r>
      <w:proofErr w:type="gramEnd"/>
    </w:p>
    <w:p w:rsidR="008D2827" w:rsidRDefault="008D2827">
      <w:pPr>
        <w:spacing w:after="0"/>
      </w:pPr>
    </w:p>
    <w:p w:rsidR="008D2827" w:rsidRDefault="00F10F22">
      <w:pPr>
        <w:spacing w:after="0"/>
      </w:pPr>
      <w:r>
        <w:rPr>
          <w:rFonts w:ascii="Times New Roman"/>
          <w:color w:val="000000"/>
        </w:rPr>
        <w:t>DN:</w:t>
      </w:r>
    </w:p>
    <w:p w:rsidR="008D2827" w:rsidRDefault="00F10F22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</w:p>
    <w:p w:rsidR="008D2827" w:rsidRDefault="00F10F22">
      <w:pPr>
        <w:spacing w:after="0"/>
      </w:pPr>
      <w:r>
        <w:rPr>
          <w:rFonts w:ascii="Times New Roman"/>
          <w:color w:val="000000"/>
        </w:rPr>
        <w:t>-          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</w:t>
      </w:r>
      <w:bookmarkStart w:id="0" w:name="_GoBack"/>
      <w:bookmarkEnd w:id="0"/>
    </w:p>
    <w:sectPr w:rsidR="008D2827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8D2827"/>
    <w:rsid w:val="003217C5"/>
    <w:rsid w:val="008D2827"/>
    <w:rsid w:val="00F1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Ivona Maleš</cp:lastModifiedBy>
  <cp:revision>2</cp:revision>
  <dcterms:created xsi:type="dcterms:W3CDTF">2019-03-19T10:39:00Z</dcterms:created>
  <dcterms:modified xsi:type="dcterms:W3CDTF">2019-03-19T10:39:00Z</dcterms:modified>
</cp:coreProperties>
</file>